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110F9C" w14:textId="77777777" w:rsidR="00066EC8" w:rsidRDefault="00066EC8"/>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066EC8" w14:paraId="12995287" w14:textId="77777777">
        <w:trPr>
          <w:trHeight w:hRule="exact" w:val="2948"/>
        </w:trPr>
        <w:tc>
          <w:tcPr>
            <w:tcW w:w="11186" w:type="dxa"/>
          </w:tcPr>
          <w:p w14:paraId="7390BC6B" w14:textId="77777777" w:rsidR="00066EC8" w:rsidRDefault="00000000">
            <w:pPr>
              <w:pStyle w:val="Documenttype"/>
            </w:pPr>
            <w:r>
              <w:t xml:space="preserve">IALA </w:t>
            </w:r>
            <w:r>
              <w:rPr>
                <w:lang w:val="en"/>
              </w:rPr>
              <w:t>Guideline</w:t>
            </w:r>
          </w:p>
        </w:tc>
      </w:tr>
    </w:tbl>
    <w:p w14:paraId="1EFFD00C" w14:textId="77777777" w:rsidR="00066EC8" w:rsidRDefault="00066EC8">
      <w:pPr>
        <w:spacing w:after="0"/>
        <w:rPr>
          <w:sz w:val="18"/>
          <w:szCs w:val="18"/>
        </w:rPr>
      </w:pPr>
    </w:p>
    <w:p w14:paraId="56DD2F61" w14:textId="77777777" w:rsidR="00066EC8" w:rsidRDefault="00066EC8">
      <w:pPr>
        <w:spacing w:after="0"/>
        <w:rPr>
          <w:sz w:val="18"/>
          <w:szCs w:val="18"/>
        </w:rPr>
      </w:pPr>
    </w:p>
    <w:p w14:paraId="7E6F7FF7" w14:textId="77777777" w:rsidR="00066EC8" w:rsidRDefault="00000000">
      <w:pPr>
        <w:pStyle w:val="Documentnumber"/>
        <w:spacing w:after="0" w:line="220" w:lineRule="atLeast"/>
      </w:pPr>
      <w:r>
        <w:t>G</w:t>
      </w:r>
      <w:r>
        <w:rPr>
          <w:lang w:eastAsia="ko-KR"/>
        </w:rPr>
        <w:t>XXXX</w:t>
      </w:r>
      <w:r>
        <w:t xml:space="preserve"> </w:t>
      </w:r>
    </w:p>
    <w:p w14:paraId="168D1DDF" w14:textId="77777777" w:rsidR="00066EC8" w:rsidRDefault="00000000">
      <w:pPr>
        <w:pStyle w:val="Documentname"/>
        <w:spacing w:after="0" w:line="220" w:lineRule="atLeast"/>
      </w:pPr>
      <w:r>
        <w:rPr>
          <w:lang w:val="en"/>
        </w:rPr>
        <w:t>MArine Aids To Navigation (ATON): Technical Specification for the provision of AtoN information to End-Users</w:t>
      </w:r>
    </w:p>
    <w:p w14:paraId="3EBFA04B" w14:textId="77777777" w:rsidR="00066EC8" w:rsidRDefault="00066EC8">
      <w:pPr>
        <w:spacing w:after="0"/>
        <w:rPr>
          <w:sz w:val="18"/>
          <w:szCs w:val="18"/>
        </w:rPr>
      </w:pPr>
    </w:p>
    <w:p w14:paraId="5875447F" w14:textId="77777777" w:rsidR="00066EC8" w:rsidRDefault="00066EC8">
      <w:pPr>
        <w:spacing w:after="0"/>
        <w:rPr>
          <w:sz w:val="18"/>
          <w:szCs w:val="18"/>
        </w:rPr>
      </w:pPr>
    </w:p>
    <w:p w14:paraId="25D1A184" w14:textId="77777777" w:rsidR="00066EC8" w:rsidRDefault="00066EC8">
      <w:pPr>
        <w:spacing w:after="0"/>
        <w:rPr>
          <w:sz w:val="18"/>
          <w:szCs w:val="18"/>
        </w:rPr>
      </w:pPr>
    </w:p>
    <w:p w14:paraId="762E1593" w14:textId="77777777" w:rsidR="00066EC8" w:rsidRDefault="00000000">
      <w:pPr>
        <w:tabs>
          <w:tab w:val="left" w:pos="6240"/>
        </w:tabs>
        <w:spacing w:after="0"/>
        <w:rPr>
          <w:sz w:val="18"/>
          <w:szCs w:val="18"/>
        </w:rPr>
      </w:pPr>
      <w:r>
        <w:rPr>
          <w:sz w:val="18"/>
          <w:szCs w:val="18"/>
        </w:rPr>
        <w:tab/>
      </w:r>
    </w:p>
    <w:p w14:paraId="60FE9353" w14:textId="77777777" w:rsidR="00066EC8" w:rsidRDefault="00066EC8">
      <w:pPr>
        <w:spacing w:after="0"/>
        <w:rPr>
          <w:sz w:val="18"/>
          <w:szCs w:val="18"/>
        </w:rPr>
      </w:pPr>
    </w:p>
    <w:p w14:paraId="2166B8C9" w14:textId="77777777" w:rsidR="00066EC8" w:rsidRDefault="00066EC8">
      <w:pPr>
        <w:spacing w:after="0"/>
        <w:rPr>
          <w:sz w:val="18"/>
          <w:szCs w:val="18"/>
        </w:rPr>
      </w:pPr>
    </w:p>
    <w:p w14:paraId="7CCBC47E" w14:textId="77777777" w:rsidR="00066EC8" w:rsidRDefault="00066EC8">
      <w:pPr>
        <w:spacing w:after="0"/>
        <w:rPr>
          <w:sz w:val="18"/>
          <w:szCs w:val="18"/>
        </w:rPr>
      </w:pPr>
    </w:p>
    <w:p w14:paraId="303E0EEF" w14:textId="77777777" w:rsidR="00066EC8" w:rsidRDefault="00066EC8">
      <w:pPr>
        <w:spacing w:after="0"/>
        <w:rPr>
          <w:sz w:val="18"/>
          <w:szCs w:val="18"/>
        </w:rPr>
      </w:pPr>
    </w:p>
    <w:p w14:paraId="57CFB5B9" w14:textId="77777777" w:rsidR="00066EC8" w:rsidRDefault="00066EC8">
      <w:pPr>
        <w:spacing w:after="0"/>
        <w:rPr>
          <w:sz w:val="18"/>
          <w:szCs w:val="18"/>
        </w:rPr>
      </w:pPr>
    </w:p>
    <w:p w14:paraId="567B5E4F" w14:textId="77777777" w:rsidR="00066EC8" w:rsidRDefault="00066EC8">
      <w:pPr>
        <w:spacing w:after="0"/>
        <w:rPr>
          <w:sz w:val="18"/>
          <w:szCs w:val="18"/>
        </w:rPr>
      </w:pPr>
    </w:p>
    <w:p w14:paraId="55DDF050" w14:textId="77777777" w:rsidR="00066EC8" w:rsidRDefault="00066EC8">
      <w:pPr>
        <w:spacing w:after="0"/>
        <w:rPr>
          <w:sz w:val="18"/>
          <w:szCs w:val="18"/>
        </w:rPr>
      </w:pPr>
    </w:p>
    <w:p w14:paraId="3E591151" w14:textId="77777777" w:rsidR="00066EC8" w:rsidRDefault="00066EC8">
      <w:pPr>
        <w:spacing w:after="0"/>
        <w:rPr>
          <w:sz w:val="18"/>
          <w:szCs w:val="18"/>
        </w:rPr>
      </w:pPr>
    </w:p>
    <w:p w14:paraId="79FA2B9C" w14:textId="77777777" w:rsidR="00066EC8" w:rsidRDefault="00000000">
      <w:pPr>
        <w:pStyle w:val="Editionnumber"/>
        <w:spacing w:after="0"/>
      </w:pPr>
      <w:r>
        <w:t>Edition 1.0</w:t>
      </w:r>
    </w:p>
    <w:p w14:paraId="0D68020D" w14:textId="77777777" w:rsidR="00066EC8" w:rsidRDefault="00000000">
      <w:pPr>
        <w:pStyle w:val="Documentdate"/>
        <w:spacing w:after="0"/>
      </w:pPr>
      <w:r>
        <w:rPr>
          <w:lang w:val="en"/>
        </w:rPr>
        <w:t xml:space="preserve">March </w:t>
      </w:r>
      <w:r>
        <w:t>202</w:t>
      </w:r>
      <w:r>
        <w:rPr>
          <w:lang w:val="en"/>
        </w:rPr>
        <w:t>6</w:t>
      </w:r>
    </w:p>
    <w:p w14:paraId="6A23624B" w14:textId="77777777" w:rsidR="00066EC8" w:rsidRDefault="00066EC8">
      <w:pPr>
        <w:spacing w:after="0"/>
        <w:rPr>
          <w:sz w:val="18"/>
          <w:szCs w:val="18"/>
        </w:rPr>
      </w:pPr>
    </w:p>
    <w:p w14:paraId="6A7ED293" w14:textId="77777777" w:rsidR="00066EC8" w:rsidRDefault="00000000">
      <w:pPr>
        <w:pStyle w:val="MRN"/>
        <w:rPr>
          <w:lang w:val="sv-SE"/>
        </w:rPr>
        <w:sectPr w:rsidR="00066EC8">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276" w:bottom="2494" w:left="1276" w:header="567" w:footer="760" w:gutter="0"/>
          <w:cols w:space="708"/>
        </w:sectPr>
      </w:pPr>
      <w:r>
        <w:rPr>
          <w:lang w:val="sv-SE"/>
        </w:rPr>
        <w:t>urn:mrn:iala:pub:g</w:t>
      </w:r>
      <w:r>
        <w:rPr>
          <w:lang w:val="sv-SE" w:eastAsia="ko-KR"/>
        </w:rPr>
        <w:t>XXXX</w:t>
      </w:r>
      <w:r>
        <w:rPr>
          <w:lang w:val="sv-SE"/>
        </w:rPr>
        <w:t>:ed.1.0</w:t>
      </w:r>
    </w:p>
    <w:p w14:paraId="1E6150DC" w14:textId="77777777" w:rsidR="00066EC8" w:rsidRDefault="00000000">
      <w:pPr>
        <w:pStyle w:val="BodyText"/>
      </w:pPr>
      <w:r>
        <w:lastRenderedPageBreak/>
        <w:t>Revisions to this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066EC8" w14:paraId="5C34E18D" w14:textId="77777777">
        <w:tc>
          <w:tcPr>
            <w:tcW w:w="1908" w:type="dxa"/>
          </w:tcPr>
          <w:p w14:paraId="1667BA47" w14:textId="77777777" w:rsidR="00066EC8" w:rsidRDefault="00000000">
            <w:pPr>
              <w:pStyle w:val="Documentrevisiontabletitle"/>
            </w:pPr>
            <w:r>
              <w:t>Date</w:t>
            </w:r>
          </w:p>
        </w:tc>
        <w:tc>
          <w:tcPr>
            <w:tcW w:w="6025" w:type="dxa"/>
          </w:tcPr>
          <w:p w14:paraId="2461EBAB" w14:textId="77777777" w:rsidR="00066EC8" w:rsidRDefault="00000000">
            <w:pPr>
              <w:pStyle w:val="Documentrevisiontabletitle"/>
            </w:pPr>
            <w:r>
              <w:t>Details</w:t>
            </w:r>
          </w:p>
        </w:tc>
        <w:tc>
          <w:tcPr>
            <w:tcW w:w="2552" w:type="dxa"/>
          </w:tcPr>
          <w:p w14:paraId="5B9AC999" w14:textId="77777777" w:rsidR="00066EC8" w:rsidRDefault="00000000">
            <w:pPr>
              <w:pStyle w:val="Documentrevisiontabletitle"/>
            </w:pPr>
            <w:r>
              <w:t>Approval</w:t>
            </w:r>
          </w:p>
        </w:tc>
      </w:tr>
      <w:tr w:rsidR="00066EC8" w14:paraId="565EC4CC" w14:textId="77777777">
        <w:trPr>
          <w:trHeight w:val="851"/>
        </w:trPr>
        <w:tc>
          <w:tcPr>
            <w:tcW w:w="1908" w:type="dxa"/>
            <w:vAlign w:val="center"/>
          </w:tcPr>
          <w:p w14:paraId="73BDB86F" w14:textId="77777777" w:rsidR="00066EC8" w:rsidRDefault="00000000">
            <w:pPr>
              <w:pStyle w:val="Tabletext"/>
            </w:pPr>
            <w:r>
              <w:t>September 2025</w:t>
            </w:r>
          </w:p>
        </w:tc>
        <w:tc>
          <w:tcPr>
            <w:tcW w:w="6025" w:type="dxa"/>
            <w:vAlign w:val="center"/>
          </w:tcPr>
          <w:p w14:paraId="50596ED6" w14:textId="77777777" w:rsidR="00066EC8" w:rsidRDefault="00000000">
            <w:pPr>
              <w:pStyle w:val="Tabletext"/>
            </w:pPr>
            <w:r>
              <w:t>First edition</w:t>
            </w:r>
          </w:p>
        </w:tc>
        <w:tc>
          <w:tcPr>
            <w:tcW w:w="2552" w:type="dxa"/>
            <w:vAlign w:val="center"/>
          </w:tcPr>
          <w:p w14:paraId="11FDF2F8" w14:textId="77777777" w:rsidR="00066EC8" w:rsidRDefault="00066EC8">
            <w:pPr>
              <w:pStyle w:val="Tabletext"/>
            </w:pPr>
          </w:p>
        </w:tc>
      </w:tr>
      <w:tr w:rsidR="00066EC8" w14:paraId="3C01DA51" w14:textId="77777777">
        <w:trPr>
          <w:trHeight w:val="851"/>
        </w:trPr>
        <w:tc>
          <w:tcPr>
            <w:tcW w:w="1908" w:type="dxa"/>
            <w:vAlign w:val="center"/>
          </w:tcPr>
          <w:p w14:paraId="0CB0A280" w14:textId="77777777" w:rsidR="00066EC8" w:rsidRDefault="00000000">
            <w:pPr>
              <w:pStyle w:val="Tabletext"/>
            </w:pPr>
            <w:r>
              <w:rPr>
                <w:lang w:val="en"/>
              </w:rPr>
              <w:t>March 2026</w:t>
            </w:r>
          </w:p>
        </w:tc>
        <w:tc>
          <w:tcPr>
            <w:tcW w:w="6025" w:type="dxa"/>
            <w:vAlign w:val="center"/>
          </w:tcPr>
          <w:p w14:paraId="6F56BA8D" w14:textId="77777777" w:rsidR="00066EC8" w:rsidRDefault="00000000">
            <w:pPr>
              <w:pStyle w:val="Tabletext"/>
            </w:pPr>
            <w:r>
              <w:rPr>
                <w:lang w:val="en"/>
              </w:rPr>
              <w:t>Revision</w:t>
            </w:r>
          </w:p>
        </w:tc>
        <w:tc>
          <w:tcPr>
            <w:tcW w:w="2552" w:type="dxa"/>
            <w:vAlign w:val="center"/>
          </w:tcPr>
          <w:p w14:paraId="6D3F99F2" w14:textId="77777777" w:rsidR="00066EC8" w:rsidRDefault="00066EC8">
            <w:pPr>
              <w:pStyle w:val="Tabletext"/>
            </w:pPr>
          </w:p>
        </w:tc>
      </w:tr>
      <w:tr w:rsidR="00066EC8" w14:paraId="4C4B684C" w14:textId="77777777">
        <w:trPr>
          <w:trHeight w:val="851"/>
        </w:trPr>
        <w:tc>
          <w:tcPr>
            <w:tcW w:w="1908" w:type="dxa"/>
            <w:vAlign w:val="center"/>
          </w:tcPr>
          <w:p w14:paraId="2E212394" w14:textId="77777777" w:rsidR="00066EC8" w:rsidRDefault="00066EC8">
            <w:pPr>
              <w:pStyle w:val="Tabletext"/>
            </w:pPr>
          </w:p>
        </w:tc>
        <w:tc>
          <w:tcPr>
            <w:tcW w:w="6025" w:type="dxa"/>
            <w:vAlign w:val="center"/>
          </w:tcPr>
          <w:p w14:paraId="485EA98D" w14:textId="77777777" w:rsidR="00066EC8" w:rsidRDefault="00066EC8">
            <w:pPr>
              <w:pStyle w:val="Tabletext"/>
            </w:pPr>
          </w:p>
        </w:tc>
        <w:tc>
          <w:tcPr>
            <w:tcW w:w="2552" w:type="dxa"/>
            <w:vAlign w:val="center"/>
          </w:tcPr>
          <w:p w14:paraId="729B5651" w14:textId="77777777" w:rsidR="00066EC8" w:rsidRDefault="00066EC8">
            <w:pPr>
              <w:pStyle w:val="Tabletext"/>
            </w:pPr>
          </w:p>
        </w:tc>
      </w:tr>
      <w:tr w:rsidR="00066EC8" w14:paraId="28B1A9FB" w14:textId="77777777">
        <w:trPr>
          <w:trHeight w:val="851"/>
        </w:trPr>
        <w:tc>
          <w:tcPr>
            <w:tcW w:w="1908" w:type="dxa"/>
            <w:vAlign w:val="center"/>
          </w:tcPr>
          <w:p w14:paraId="03ED03A7" w14:textId="77777777" w:rsidR="00066EC8" w:rsidRDefault="00066EC8">
            <w:pPr>
              <w:pStyle w:val="Tabletext"/>
            </w:pPr>
          </w:p>
        </w:tc>
        <w:tc>
          <w:tcPr>
            <w:tcW w:w="6025" w:type="dxa"/>
            <w:vAlign w:val="center"/>
          </w:tcPr>
          <w:p w14:paraId="36B1E18E" w14:textId="77777777" w:rsidR="00066EC8" w:rsidRDefault="00066EC8">
            <w:pPr>
              <w:pStyle w:val="Tabletext"/>
            </w:pPr>
          </w:p>
        </w:tc>
        <w:tc>
          <w:tcPr>
            <w:tcW w:w="2552" w:type="dxa"/>
            <w:vAlign w:val="center"/>
          </w:tcPr>
          <w:p w14:paraId="6126CDCA" w14:textId="77777777" w:rsidR="00066EC8" w:rsidRDefault="00066EC8">
            <w:pPr>
              <w:pStyle w:val="Tabletext"/>
            </w:pPr>
          </w:p>
        </w:tc>
      </w:tr>
      <w:tr w:rsidR="00066EC8" w14:paraId="6C17E6AF" w14:textId="77777777">
        <w:trPr>
          <w:trHeight w:val="851"/>
        </w:trPr>
        <w:tc>
          <w:tcPr>
            <w:tcW w:w="1908" w:type="dxa"/>
            <w:vAlign w:val="center"/>
          </w:tcPr>
          <w:p w14:paraId="42D2D5BB" w14:textId="77777777" w:rsidR="00066EC8" w:rsidRDefault="00066EC8">
            <w:pPr>
              <w:pStyle w:val="Tabletext"/>
            </w:pPr>
          </w:p>
        </w:tc>
        <w:tc>
          <w:tcPr>
            <w:tcW w:w="6025" w:type="dxa"/>
            <w:vAlign w:val="center"/>
          </w:tcPr>
          <w:p w14:paraId="2D5E2EB7" w14:textId="77777777" w:rsidR="00066EC8" w:rsidRDefault="00066EC8">
            <w:pPr>
              <w:pStyle w:val="Tabletext"/>
            </w:pPr>
          </w:p>
        </w:tc>
        <w:tc>
          <w:tcPr>
            <w:tcW w:w="2552" w:type="dxa"/>
            <w:vAlign w:val="center"/>
          </w:tcPr>
          <w:p w14:paraId="1132FCC6" w14:textId="77777777" w:rsidR="00066EC8" w:rsidRDefault="00066EC8">
            <w:pPr>
              <w:pStyle w:val="Tabletext"/>
            </w:pPr>
          </w:p>
        </w:tc>
      </w:tr>
      <w:tr w:rsidR="00066EC8" w14:paraId="2D46A01F" w14:textId="77777777">
        <w:trPr>
          <w:trHeight w:val="851"/>
        </w:trPr>
        <w:tc>
          <w:tcPr>
            <w:tcW w:w="1908" w:type="dxa"/>
            <w:vAlign w:val="center"/>
          </w:tcPr>
          <w:p w14:paraId="6BF9AE99" w14:textId="77777777" w:rsidR="00066EC8" w:rsidRDefault="00066EC8">
            <w:pPr>
              <w:pStyle w:val="Tabletext"/>
            </w:pPr>
          </w:p>
        </w:tc>
        <w:tc>
          <w:tcPr>
            <w:tcW w:w="6025" w:type="dxa"/>
            <w:vAlign w:val="center"/>
          </w:tcPr>
          <w:p w14:paraId="64AC1A7E" w14:textId="77777777" w:rsidR="00066EC8" w:rsidRDefault="00066EC8">
            <w:pPr>
              <w:pStyle w:val="Tabletext"/>
            </w:pPr>
          </w:p>
        </w:tc>
        <w:tc>
          <w:tcPr>
            <w:tcW w:w="2552" w:type="dxa"/>
            <w:vAlign w:val="center"/>
          </w:tcPr>
          <w:p w14:paraId="398137CE" w14:textId="77777777" w:rsidR="00066EC8" w:rsidRDefault="00066EC8">
            <w:pPr>
              <w:pStyle w:val="Tabletext"/>
            </w:pPr>
          </w:p>
        </w:tc>
      </w:tr>
      <w:tr w:rsidR="00066EC8" w14:paraId="4B7C06A1" w14:textId="77777777">
        <w:trPr>
          <w:trHeight w:val="851"/>
        </w:trPr>
        <w:tc>
          <w:tcPr>
            <w:tcW w:w="1908" w:type="dxa"/>
            <w:vAlign w:val="center"/>
          </w:tcPr>
          <w:p w14:paraId="09798747" w14:textId="77777777" w:rsidR="00066EC8" w:rsidRDefault="00066EC8">
            <w:pPr>
              <w:pStyle w:val="Tabletext"/>
            </w:pPr>
          </w:p>
        </w:tc>
        <w:tc>
          <w:tcPr>
            <w:tcW w:w="6025" w:type="dxa"/>
            <w:vAlign w:val="center"/>
          </w:tcPr>
          <w:p w14:paraId="1647633F" w14:textId="77777777" w:rsidR="00066EC8" w:rsidRDefault="00066EC8">
            <w:pPr>
              <w:pStyle w:val="Tabletext"/>
            </w:pPr>
          </w:p>
        </w:tc>
        <w:tc>
          <w:tcPr>
            <w:tcW w:w="2552" w:type="dxa"/>
            <w:vAlign w:val="center"/>
          </w:tcPr>
          <w:p w14:paraId="4BB7210E" w14:textId="77777777" w:rsidR="00066EC8" w:rsidRDefault="00066EC8">
            <w:pPr>
              <w:pStyle w:val="Tabletext"/>
            </w:pPr>
          </w:p>
        </w:tc>
      </w:tr>
    </w:tbl>
    <w:p w14:paraId="70172195" w14:textId="77777777" w:rsidR="00066EC8" w:rsidRDefault="00066EC8"/>
    <w:p w14:paraId="42703BD4" w14:textId="77777777" w:rsidR="00066EC8" w:rsidRDefault="00066EC8">
      <w:pPr>
        <w:pStyle w:val="BodyText"/>
        <w:sectPr w:rsidR="00066EC8">
          <w:headerReference w:type="even" r:id="rId18"/>
          <w:headerReference w:type="default" r:id="rId19"/>
          <w:footerReference w:type="default" r:id="rId20"/>
          <w:headerReference w:type="first" r:id="rId21"/>
          <w:pgSz w:w="11906" w:h="16838"/>
          <w:pgMar w:top="567" w:right="794" w:bottom="567" w:left="907" w:header="567" w:footer="850" w:gutter="0"/>
          <w:cols w:space="708"/>
        </w:sectPr>
      </w:pPr>
    </w:p>
    <w:p w14:paraId="49B8D42F" w14:textId="0B02BF06" w:rsidR="002C6C70" w:rsidRDefault="00000000">
      <w:pPr>
        <w:pStyle w:val="TOC1"/>
        <w:rPr>
          <w:b w:val="0"/>
          <w:caps w:val="0"/>
          <w:noProof/>
          <w:color w:val="auto"/>
          <w:kern w:val="2"/>
          <w:sz w:val="24"/>
          <w:szCs w:val="24"/>
          <w:lang w:eastAsia="en-GB"/>
          <w14:ligatures w14:val="standardContextual"/>
        </w:rPr>
      </w:pPr>
      <w:r>
        <w:rPr>
          <w:rFonts w:eastAsia="Times New Roman" w:cs="Times New Roman"/>
          <w:b w:val="0"/>
          <w:color w:val="auto"/>
          <w:szCs w:val="20"/>
        </w:rPr>
        <w:lastRenderedPageBreak/>
        <w:fldChar w:fldCharType="begin"/>
      </w:r>
      <w:r>
        <w:rPr>
          <w:rFonts w:eastAsia="Times New Roman" w:cs="Times New Roman"/>
          <w:szCs w:val="20"/>
        </w:rPr>
        <w:instrText xml:space="preserve"> TOC \o "1-3" \t "Annex title (Head 1),1,Appendix title (Head 1),1" </w:instrText>
      </w:r>
      <w:r>
        <w:rPr>
          <w:rFonts w:eastAsia="Times New Roman" w:cs="Times New Roman"/>
          <w:b w:val="0"/>
          <w:color w:val="auto"/>
          <w:szCs w:val="20"/>
        </w:rPr>
        <w:fldChar w:fldCharType="separate"/>
      </w:r>
      <w:r w:rsidR="002C6C70">
        <w:rPr>
          <w:noProof/>
        </w:rPr>
        <w:t>Marine Aids to Navigation (AtoN) Service Specification</w:t>
      </w:r>
      <w:r w:rsidR="002C6C70">
        <w:rPr>
          <w:noProof/>
        </w:rPr>
        <w:tab/>
      </w:r>
      <w:r w:rsidR="002C6C70">
        <w:rPr>
          <w:noProof/>
        </w:rPr>
        <w:fldChar w:fldCharType="begin"/>
      </w:r>
      <w:r w:rsidR="002C6C70">
        <w:rPr>
          <w:noProof/>
        </w:rPr>
        <w:instrText xml:space="preserve"> PAGEREF _Toc225158506 \h </w:instrText>
      </w:r>
      <w:r w:rsidR="002C6C70">
        <w:rPr>
          <w:noProof/>
        </w:rPr>
      </w:r>
      <w:r w:rsidR="002C6C70">
        <w:rPr>
          <w:noProof/>
        </w:rPr>
        <w:fldChar w:fldCharType="separate"/>
      </w:r>
      <w:r w:rsidR="002C6C70">
        <w:rPr>
          <w:noProof/>
        </w:rPr>
        <w:t>6</w:t>
      </w:r>
      <w:r w:rsidR="002C6C70">
        <w:rPr>
          <w:noProof/>
        </w:rPr>
        <w:fldChar w:fldCharType="end"/>
      </w:r>
    </w:p>
    <w:p w14:paraId="52B0E192" w14:textId="23532F8C" w:rsidR="002C6C70" w:rsidRDefault="002C6C70">
      <w:pPr>
        <w:pStyle w:val="TOC1"/>
        <w:rPr>
          <w:b w:val="0"/>
          <w:caps w:val="0"/>
          <w:noProof/>
          <w:color w:val="auto"/>
          <w:kern w:val="2"/>
          <w:sz w:val="24"/>
          <w:szCs w:val="24"/>
          <w:lang w:eastAsia="en-GB"/>
          <w14:ligatures w14:val="standardContextual"/>
        </w:rPr>
      </w:pPr>
      <w:r w:rsidRPr="00C4051D">
        <w:rPr>
          <w:noProof/>
        </w:rPr>
        <w:t>1.</w:t>
      </w:r>
      <w:r>
        <w:rPr>
          <w:b w:val="0"/>
          <w:caps w:val="0"/>
          <w:noProof/>
          <w:color w:val="auto"/>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_Toc225158507 \h </w:instrText>
      </w:r>
      <w:r>
        <w:rPr>
          <w:noProof/>
        </w:rPr>
      </w:r>
      <w:r>
        <w:rPr>
          <w:noProof/>
        </w:rPr>
        <w:fldChar w:fldCharType="separate"/>
      </w:r>
      <w:r>
        <w:rPr>
          <w:noProof/>
        </w:rPr>
        <w:t>6</w:t>
      </w:r>
      <w:r>
        <w:rPr>
          <w:noProof/>
        </w:rPr>
        <w:fldChar w:fldCharType="end"/>
      </w:r>
    </w:p>
    <w:p w14:paraId="66CA775A" w14:textId="2FA53577" w:rsidR="002C6C70" w:rsidRDefault="002C6C70">
      <w:pPr>
        <w:pStyle w:val="TOC2"/>
        <w:rPr>
          <w:noProof/>
          <w:color w:val="auto"/>
          <w:kern w:val="2"/>
          <w:sz w:val="24"/>
          <w:szCs w:val="24"/>
          <w:lang w:eastAsia="en-GB"/>
          <w14:ligatures w14:val="standardContextual"/>
        </w:rPr>
      </w:pPr>
      <w:r w:rsidRPr="00C4051D">
        <w:rPr>
          <w:noProof/>
        </w:rPr>
        <w:t>1.1.</w:t>
      </w:r>
      <w:r>
        <w:rPr>
          <w:noProof/>
          <w:color w:val="auto"/>
          <w:kern w:val="2"/>
          <w:sz w:val="24"/>
          <w:szCs w:val="24"/>
          <w:lang w:eastAsia="en-GB"/>
          <w14:ligatures w14:val="standardContextual"/>
        </w:rPr>
        <w:tab/>
      </w:r>
      <w:r>
        <w:rPr>
          <w:noProof/>
        </w:rPr>
        <w:t>Purpose of the Document</w:t>
      </w:r>
      <w:r>
        <w:rPr>
          <w:noProof/>
        </w:rPr>
        <w:tab/>
      </w:r>
      <w:r>
        <w:rPr>
          <w:noProof/>
        </w:rPr>
        <w:fldChar w:fldCharType="begin"/>
      </w:r>
      <w:r>
        <w:rPr>
          <w:noProof/>
        </w:rPr>
        <w:instrText xml:space="preserve"> PAGEREF _Toc225158508 \h </w:instrText>
      </w:r>
      <w:r>
        <w:rPr>
          <w:noProof/>
        </w:rPr>
      </w:r>
      <w:r>
        <w:rPr>
          <w:noProof/>
        </w:rPr>
        <w:fldChar w:fldCharType="separate"/>
      </w:r>
      <w:r>
        <w:rPr>
          <w:noProof/>
        </w:rPr>
        <w:t>6</w:t>
      </w:r>
      <w:r>
        <w:rPr>
          <w:noProof/>
        </w:rPr>
        <w:fldChar w:fldCharType="end"/>
      </w:r>
    </w:p>
    <w:p w14:paraId="0051A552" w14:textId="6B521EE3" w:rsidR="002C6C70" w:rsidRDefault="002C6C70">
      <w:pPr>
        <w:pStyle w:val="TOC2"/>
        <w:rPr>
          <w:noProof/>
          <w:color w:val="auto"/>
          <w:kern w:val="2"/>
          <w:sz w:val="24"/>
          <w:szCs w:val="24"/>
          <w:lang w:eastAsia="en-GB"/>
          <w14:ligatures w14:val="standardContextual"/>
        </w:rPr>
      </w:pPr>
      <w:r w:rsidRPr="00C4051D">
        <w:rPr>
          <w:noProof/>
        </w:rPr>
        <w:t>1.2.</w:t>
      </w:r>
      <w:r>
        <w:rPr>
          <w:noProof/>
          <w:color w:val="auto"/>
          <w:kern w:val="2"/>
          <w:sz w:val="24"/>
          <w:szCs w:val="24"/>
          <w:lang w:eastAsia="en-GB"/>
          <w14:ligatures w14:val="standardContextual"/>
        </w:rPr>
        <w:tab/>
      </w:r>
      <w:r>
        <w:rPr>
          <w:noProof/>
        </w:rPr>
        <w:t>Intended Readership</w:t>
      </w:r>
      <w:r>
        <w:rPr>
          <w:noProof/>
        </w:rPr>
        <w:tab/>
      </w:r>
      <w:r>
        <w:rPr>
          <w:noProof/>
        </w:rPr>
        <w:fldChar w:fldCharType="begin"/>
      </w:r>
      <w:r>
        <w:rPr>
          <w:noProof/>
        </w:rPr>
        <w:instrText xml:space="preserve"> PAGEREF _Toc225158509 \h </w:instrText>
      </w:r>
      <w:r>
        <w:rPr>
          <w:noProof/>
        </w:rPr>
      </w:r>
      <w:r>
        <w:rPr>
          <w:noProof/>
        </w:rPr>
        <w:fldChar w:fldCharType="separate"/>
      </w:r>
      <w:r>
        <w:rPr>
          <w:noProof/>
        </w:rPr>
        <w:t>7</w:t>
      </w:r>
      <w:r>
        <w:rPr>
          <w:noProof/>
        </w:rPr>
        <w:fldChar w:fldCharType="end"/>
      </w:r>
    </w:p>
    <w:p w14:paraId="573FE44C" w14:textId="3836991D" w:rsidR="002C6C70" w:rsidRDefault="002C6C70">
      <w:pPr>
        <w:pStyle w:val="TOC2"/>
        <w:rPr>
          <w:noProof/>
          <w:color w:val="auto"/>
          <w:kern w:val="2"/>
          <w:sz w:val="24"/>
          <w:szCs w:val="24"/>
          <w:lang w:eastAsia="en-GB"/>
          <w14:ligatures w14:val="standardContextual"/>
        </w:rPr>
      </w:pPr>
      <w:r w:rsidRPr="00C4051D">
        <w:rPr>
          <w:noProof/>
        </w:rPr>
        <w:t>1.3.</w:t>
      </w:r>
      <w:r>
        <w:rPr>
          <w:noProof/>
          <w:color w:val="auto"/>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_Toc225158510 \h </w:instrText>
      </w:r>
      <w:r>
        <w:rPr>
          <w:noProof/>
        </w:rPr>
      </w:r>
      <w:r>
        <w:rPr>
          <w:noProof/>
        </w:rPr>
        <w:fldChar w:fldCharType="separate"/>
      </w:r>
      <w:r>
        <w:rPr>
          <w:noProof/>
        </w:rPr>
        <w:t>7</w:t>
      </w:r>
      <w:r>
        <w:rPr>
          <w:noProof/>
        </w:rPr>
        <w:fldChar w:fldCharType="end"/>
      </w:r>
    </w:p>
    <w:p w14:paraId="49262994" w14:textId="17379870" w:rsidR="002C6C70" w:rsidRDefault="002C6C70">
      <w:pPr>
        <w:pStyle w:val="TOC1"/>
        <w:rPr>
          <w:b w:val="0"/>
          <w:caps w:val="0"/>
          <w:noProof/>
          <w:color w:val="auto"/>
          <w:kern w:val="2"/>
          <w:sz w:val="24"/>
          <w:szCs w:val="24"/>
          <w:lang w:eastAsia="en-GB"/>
          <w14:ligatures w14:val="standardContextual"/>
        </w:rPr>
      </w:pPr>
      <w:r w:rsidRPr="00C4051D">
        <w:rPr>
          <w:noProof/>
        </w:rPr>
        <w:t>2.</w:t>
      </w:r>
      <w:r>
        <w:rPr>
          <w:b w:val="0"/>
          <w:caps w:val="0"/>
          <w:noProof/>
          <w:color w:val="auto"/>
          <w:kern w:val="2"/>
          <w:sz w:val="24"/>
          <w:szCs w:val="24"/>
          <w:lang w:eastAsia="en-GB"/>
          <w14:ligatures w14:val="standardContextual"/>
        </w:rPr>
        <w:tab/>
      </w:r>
      <w:r>
        <w:rPr>
          <w:noProof/>
        </w:rPr>
        <w:t>Service Identification</w:t>
      </w:r>
      <w:r>
        <w:rPr>
          <w:noProof/>
        </w:rPr>
        <w:tab/>
      </w:r>
      <w:r>
        <w:rPr>
          <w:noProof/>
        </w:rPr>
        <w:fldChar w:fldCharType="begin"/>
      </w:r>
      <w:r>
        <w:rPr>
          <w:noProof/>
        </w:rPr>
        <w:instrText xml:space="preserve"> PAGEREF _Toc225158511 \h </w:instrText>
      </w:r>
      <w:r>
        <w:rPr>
          <w:noProof/>
        </w:rPr>
      </w:r>
      <w:r>
        <w:rPr>
          <w:noProof/>
        </w:rPr>
        <w:fldChar w:fldCharType="separate"/>
      </w:r>
      <w:r>
        <w:rPr>
          <w:noProof/>
        </w:rPr>
        <w:t>8</w:t>
      </w:r>
      <w:r>
        <w:rPr>
          <w:noProof/>
        </w:rPr>
        <w:fldChar w:fldCharType="end"/>
      </w:r>
    </w:p>
    <w:p w14:paraId="5815DF31" w14:textId="03855BA2" w:rsidR="002C6C70" w:rsidRDefault="002C6C70">
      <w:pPr>
        <w:pStyle w:val="TOC1"/>
        <w:rPr>
          <w:b w:val="0"/>
          <w:caps w:val="0"/>
          <w:noProof/>
          <w:color w:val="auto"/>
          <w:kern w:val="2"/>
          <w:sz w:val="24"/>
          <w:szCs w:val="24"/>
          <w:lang w:eastAsia="en-GB"/>
          <w14:ligatures w14:val="standardContextual"/>
        </w:rPr>
      </w:pPr>
      <w:r w:rsidRPr="00C4051D">
        <w:rPr>
          <w:noProof/>
        </w:rPr>
        <w:t>3.</w:t>
      </w:r>
      <w:r>
        <w:rPr>
          <w:b w:val="0"/>
          <w:caps w:val="0"/>
          <w:noProof/>
          <w:color w:val="auto"/>
          <w:kern w:val="2"/>
          <w:sz w:val="24"/>
          <w:szCs w:val="24"/>
          <w:lang w:eastAsia="en-GB"/>
          <w14:ligatures w14:val="standardContextual"/>
        </w:rPr>
        <w:tab/>
      </w:r>
      <w:r>
        <w:rPr>
          <w:noProof/>
        </w:rPr>
        <w:t>Operational Context</w:t>
      </w:r>
      <w:r>
        <w:rPr>
          <w:noProof/>
        </w:rPr>
        <w:tab/>
      </w:r>
      <w:r>
        <w:rPr>
          <w:noProof/>
        </w:rPr>
        <w:fldChar w:fldCharType="begin"/>
      </w:r>
      <w:r>
        <w:rPr>
          <w:noProof/>
        </w:rPr>
        <w:instrText xml:space="preserve"> PAGEREF _Toc225158512 \h </w:instrText>
      </w:r>
      <w:r>
        <w:rPr>
          <w:noProof/>
        </w:rPr>
      </w:r>
      <w:r>
        <w:rPr>
          <w:noProof/>
        </w:rPr>
        <w:fldChar w:fldCharType="separate"/>
      </w:r>
      <w:r>
        <w:rPr>
          <w:noProof/>
        </w:rPr>
        <w:t>9</w:t>
      </w:r>
      <w:r>
        <w:rPr>
          <w:noProof/>
        </w:rPr>
        <w:fldChar w:fldCharType="end"/>
      </w:r>
    </w:p>
    <w:p w14:paraId="5A203F21" w14:textId="0F2368BD" w:rsidR="002C6C70" w:rsidRDefault="002C6C70">
      <w:pPr>
        <w:pStyle w:val="TOC2"/>
        <w:rPr>
          <w:noProof/>
          <w:color w:val="auto"/>
          <w:kern w:val="2"/>
          <w:sz w:val="24"/>
          <w:szCs w:val="24"/>
          <w:lang w:eastAsia="en-GB"/>
          <w14:ligatures w14:val="standardContextual"/>
        </w:rPr>
      </w:pPr>
      <w:r w:rsidRPr="00C4051D">
        <w:rPr>
          <w:noProof/>
        </w:rPr>
        <w:t>3.1.</w:t>
      </w:r>
      <w:r>
        <w:rPr>
          <w:noProof/>
          <w:color w:val="auto"/>
          <w:kern w:val="2"/>
          <w:sz w:val="24"/>
          <w:szCs w:val="24"/>
          <w:lang w:eastAsia="en-GB"/>
          <w14:ligatures w14:val="standardContextual"/>
        </w:rPr>
        <w:tab/>
      </w:r>
      <w:r>
        <w:rPr>
          <w:noProof/>
        </w:rPr>
        <w:t>Pre S-125 Operational Context {sec:pres_125_operational_context}</w:t>
      </w:r>
      <w:r>
        <w:rPr>
          <w:noProof/>
        </w:rPr>
        <w:tab/>
      </w:r>
      <w:r>
        <w:rPr>
          <w:noProof/>
        </w:rPr>
        <w:fldChar w:fldCharType="begin"/>
      </w:r>
      <w:r>
        <w:rPr>
          <w:noProof/>
        </w:rPr>
        <w:instrText xml:space="preserve"> PAGEREF _Toc225158513 \h </w:instrText>
      </w:r>
      <w:r>
        <w:rPr>
          <w:noProof/>
        </w:rPr>
      </w:r>
      <w:r>
        <w:rPr>
          <w:noProof/>
        </w:rPr>
        <w:fldChar w:fldCharType="separate"/>
      </w:r>
      <w:r>
        <w:rPr>
          <w:noProof/>
        </w:rPr>
        <w:t>9</w:t>
      </w:r>
      <w:r>
        <w:rPr>
          <w:noProof/>
        </w:rPr>
        <w:fldChar w:fldCharType="end"/>
      </w:r>
    </w:p>
    <w:p w14:paraId="2222B726" w14:textId="2DB14F0E" w:rsidR="002C6C70" w:rsidRDefault="002C6C70">
      <w:pPr>
        <w:pStyle w:val="TOC2"/>
        <w:rPr>
          <w:noProof/>
          <w:color w:val="auto"/>
          <w:kern w:val="2"/>
          <w:sz w:val="24"/>
          <w:szCs w:val="24"/>
          <w:lang w:eastAsia="en-GB"/>
          <w14:ligatures w14:val="standardContextual"/>
        </w:rPr>
      </w:pPr>
      <w:r w:rsidRPr="00C4051D">
        <w:rPr>
          <w:noProof/>
        </w:rPr>
        <w:t>3.2.</w:t>
      </w:r>
      <w:r>
        <w:rPr>
          <w:noProof/>
          <w:color w:val="auto"/>
          <w:kern w:val="2"/>
          <w:sz w:val="24"/>
          <w:szCs w:val="24"/>
          <w:lang w:eastAsia="en-GB"/>
          <w14:ligatures w14:val="standardContextual"/>
        </w:rPr>
        <w:tab/>
      </w:r>
      <w:r>
        <w:rPr>
          <w:noProof/>
        </w:rPr>
        <w:t>Envisioned Operational Context</w:t>
      </w:r>
      <w:r>
        <w:rPr>
          <w:noProof/>
        </w:rPr>
        <w:tab/>
      </w:r>
      <w:r>
        <w:rPr>
          <w:noProof/>
        </w:rPr>
        <w:fldChar w:fldCharType="begin"/>
      </w:r>
      <w:r>
        <w:rPr>
          <w:noProof/>
        </w:rPr>
        <w:instrText xml:space="preserve"> PAGEREF _Toc225158514 \h </w:instrText>
      </w:r>
      <w:r>
        <w:rPr>
          <w:noProof/>
        </w:rPr>
      </w:r>
      <w:r>
        <w:rPr>
          <w:noProof/>
        </w:rPr>
        <w:fldChar w:fldCharType="separate"/>
      </w:r>
      <w:r>
        <w:rPr>
          <w:noProof/>
        </w:rPr>
        <w:t>10</w:t>
      </w:r>
      <w:r>
        <w:rPr>
          <w:noProof/>
        </w:rPr>
        <w:fldChar w:fldCharType="end"/>
      </w:r>
    </w:p>
    <w:p w14:paraId="28D8DE56" w14:textId="5B659CB2"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3.2.1.</w:t>
      </w:r>
      <w:r>
        <w:rPr>
          <w:noProof/>
          <w:color w:val="auto"/>
          <w:kern w:val="2"/>
          <w:sz w:val="24"/>
          <w:szCs w:val="24"/>
          <w:lang w:eastAsia="en-GB"/>
          <w14:ligatures w14:val="standardContextual"/>
        </w:rPr>
        <w:tab/>
      </w:r>
      <w:r>
        <w:rPr>
          <w:noProof/>
        </w:rPr>
        <w:t>Relationship of S-124 to S-125</w:t>
      </w:r>
      <w:r>
        <w:rPr>
          <w:noProof/>
        </w:rPr>
        <w:tab/>
      </w:r>
      <w:r>
        <w:rPr>
          <w:noProof/>
        </w:rPr>
        <w:fldChar w:fldCharType="begin"/>
      </w:r>
      <w:r>
        <w:rPr>
          <w:noProof/>
        </w:rPr>
        <w:instrText xml:space="preserve"> PAGEREF _Toc225158515 \h </w:instrText>
      </w:r>
      <w:r>
        <w:rPr>
          <w:noProof/>
        </w:rPr>
      </w:r>
      <w:r>
        <w:rPr>
          <w:noProof/>
        </w:rPr>
        <w:fldChar w:fldCharType="separate"/>
      </w:r>
      <w:r>
        <w:rPr>
          <w:noProof/>
        </w:rPr>
        <w:t>11</w:t>
      </w:r>
      <w:r>
        <w:rPr>
          <w:noProof/>
        </w:rPr>
        <w:fldChar w:fldCharType="end"/>
      </w:r>
    </w:p>
    <w:p w14:paraId="22D63F31" w14:textId="05D3FCAE"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3.2.2.</w:t>
      </w:r>
      <w:r>
        <w:rPr>
          <w:noProof/>
          <w:color w:val="auto"/>
          <w:kern w:val="2"/>
          <w:sz w:val="24"/>
          <w:szCs w:val="24"/>
          <w:lang w:eastAsia="en-GB"/>
          <w14:ligatures w14:val="standardContextual"/>
        </w:rPr>
        <w:tab/>
      </w:r>
      <w:r>
        <w:rPr>
          <w:noProof/>
        </w:rPr>
        <w:t>Relationship of S-125 to S-201</w:t>
      </w:r>
      <w:r>
        <w:rPr>
          <w:noProof/>
        </w:rPr>
        <w:tab/>
      </w:r>
      <w:r>
        <w:rPr>
          <w:noProof/>
        </w:rPr>
        <w:fldChar w:fldCharType="begin"/>
      </w:r>
      <w:r>
        <w:rPr>
          <w:noProof/>
        </w:rPr>
        <w:instrText xml:space="preserve"> PAGEREF _Toc225158516 \h </w:instrText>
      </w:r>
      <w:r>
        <w:rPr>
          <w:noProof/>
        </w:rPr>
      </w:r>
      <w:r>
        <w:rPr>
          <w:noProof/>
        </w:rPr>
        <w:fldChar w:fldCharType="separate"/>
      </w:r>
      <w:r>
        <w:rPr>
          <w:noProof/>
        </w:rPr>
        <w:t>12</w:t>
      </w:r>
      <w:r>
        <w:rPr>
          <w:noProof/>
        </w:rPr>
        <w:fldChar w:fldCharType="end"/>
      </w:r>
    </w:p>
    <w:p w14:paraId="10430C40" w14:textId="519CA16E"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3.2.3.</w:t>
      </w:r>
      <w:r>
        <w:rPr>
          <w:noProof/>
          <w:color w:val="auto"/>
          <w:kern w:val="2"/>
          <w:sz w:val="24"/>
          <w:szCs w:val="24"/>
          <w:lang w:eastAsia="en-GB"/>
          <w14:ligatures w14:val="standardContextual"/>
        </w:rPr>
        <w:tab/>
      </w:r>
      <w:r>
        <w:rPr>
          <w:noProof/>
        </w:rPr>
        <w:t>Relationship of S-101 to S-125</w:t>
      </w:r>
      <w:r>
        <w:rPr>
          <w:noProof/>
        </w:rPr>
        <w:tab/>
      </w:r>
      <w:r>
        <w:rPr>
          <w:noProof/>
        </w:rPr>
        <w:fldChar w:fldCharType="begin"/>
      </w:r>
      <w:r>
        <w:rPr>
          <w:noProof/>
        </w:rPr>
        <w:instrText xml:space="preserve"> PAGEREF _Toc225158517 \h </w:instrText>
      </w:r>
      <w:r>
        <w:rPr>
          <w:noProof/>
        </w:rPr>
      </w:r>
      <w:r>
        <w:rPr>
          <w:noProof/>
        </w:rPr>
        <w:fldChar w:fldCharType="separate"/>
      </w:r>
      <w:r>
        <w:rPr>
          <w:noProof/>
        </w:rPr>
        <w:t>12</w:t>
      </w:r>
      <w:r>
        <w:rPr>
          <w:noProof/>
        </w:rPr>
        <w:fldChar w:fldCharType="end"/>
      </w:r>
    </w:p>
    <w:p w14:paraId="7739B7BB" w14:textId="24433FEA"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3.2.4.</w:t>
      </w:r>
      <w:r>
        <w:rPr>
          <w:noProof/>
          <w:color w:val="auto"/>
          <w:kern w:val="2"/>
          <w:sz w:val="24"/>
          <w:szCs w:val="24"/>
          <w:lang w:eastAsia="en-GB"/>
          <w14:ligatures w14:val="standardContextual"/>
        </w:rPr>
        <w:tab/>
      </w:r>
      <w:r>
        <w:rPr>
          <w:noProof/>
        </w:rPr>
        <w:t>Discoverability and Dissemination</w:t>
      </w:r>
      <w:r>
        <w:rPr>
          <w:noProof/>
        </w:rPr>
        <w:tab/>
      </w:r>
      <w:r>
        <w:rPr>
          <w:noProof/>
        </w:rPr>
        <w:fldChar w:fldCharType="begin"/>
      </w:r>
      <w:r>
        <w:rPr>
          <w:noProof/>
        </w:rPr>
        <w:instrText xml:space="preserve"> PAGEREF _Toc225158518 \h </w:instrText>
      </w:r>
      <w:r>
        <w:rPr>
          <w:noProof/>
        </w:rPr>
      </w:r>
      <w:r>
        <w:rPr>
          <w:noProof/>
        </w:rPr>
        <w:fldChar w:fldCharType="separate"/>
      </w:r>
      <w:r>
        <w:rPr>
          <w:noProof/>
        </w:rPr>
        <w:t>12</w:t>
      </w:r>
      <w:r>
        <w:rPr>
          <w:noProof/>
        </w:rPr>
        <w:fldChar w:fldCharType="end"/>
      </w:r>
    </w:p>
    <w:p w14:paraId="7C4A81E2" w14:textId="36450AA8"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3.2.5.</w:t>
      </w:r>
      <w:r>
        <w:rPr>
          <w:noProof/>
          <w:color w:val="auto"/>
          <w:kern w:val="2"/>
          <w:sz w:val="24"/>
          <w:szCs w:val="24"/>
          <w:lang w:eastAsia="en-GB"/>
          <w14:ligatures w14:val="standardContextual"/>
        </w:rPr>
        <w:tab/>
      </w:r>
      <w:r>
        <w:rPr>
          <w:noProof/>
        </w:rPr>
        <w:t>ECDIS Compatibility</w:t>
      </w:r>
      <w:r>
        <w:rPr>
          <w:noProof/>
        </w:rPr>
        <w:tab/>
      </w:r>
      <w:r>
        <w:rPr>
          <w:noProof/>
        </w:rPr>
        <w:fldChar w:fldCharType="begin"/>
      </w:r>
      <w:r>
        <w:rPr>
          <w:noProof/>
        </w:rPr>
        <w:instrText xml:space="preserve"> PAGEREF _Toc225158519 \h </w:instrText>
      </w:r>
      <w:r>
        <w:rPr>
          <w:noProof/>
        </w:rPr>
      </w:r>
      <w:r>
        <w:rPr>
          <w:noProof/>
        </w:rPr>
        <w:fldChar w:fldCharType="separate"/>
      </w:r>
      <w:r>
        <w:rPr>
          <w:noProof/>
        </w:rPr>
        <w:t>13</w:t>
      </w:r>
      <w:r>
        <w:rPr>
          <w:noProof/>
        </w:rPr>
        <w:fldChar w:fldCharType="end"/>
      </w:r>
    </w:p>
    <w:p w14:paraId="5165AC2B" w14:textId="23D8CE75" w:rsidR="002C6C70" w:rsidRDefault="002C6C70">
      <w:pPr>
        <w:pStyle w:val="TOC2"/>
        <w:rPr>
          <w:noProof/>
          <w:color w:val="auto"/>
          <w:kern w:val="2"/>
          <w:sz w:val="24"/>
          <w:szCs w:val="24"/>
          <w:lang w:eastAsia="en-GB"/>
          <w14:ligatures w14:val="standardContextual"/>
        </w:rPr>
      </w:pPr>
      <w:r w:rsidRPr="00C4051D">
        <w:rPr>
          <w:noProof/>
        </w:rPr>
        <w:t>3.3.</w:t>
      </w:r>
      <w:r>
        <w:rPr>
          <w:noProof/>
          <w:color w:val="auto"/>
          <w:kern w:val="2"/>
          <w:sz w:val="24"/>
          <w:szCs w:val="24"/>
          <w:lang w:eastAsia="en-GB"/>
          <w14:ligatures w14:val="standardContextual"/>
        </w:rPr>
        <w:tab/>
      </w:r>
      <w:r>
        <w:rPr>
          <w:noProof/>
        </w:rPr>
        <w:t>Functional and Non-functional Requirements</w:t>
      </w:r>
      <w:r>
        <w:rPr>
          <w:noProof/>
        </w:rPr>
        <w:tab/>
      </w:r>
      <w:r>
        <w:rPr>
          <w:noProof/>
        </w:rPr>
        <w:fldChar w:fldCharType="begin"/>
      </w:r>
      <w:r>
        <w:rPr>
          <w:noProof/>
        </w:rPr>
        <w:instrText xml:space="preserve"> PAGEREF _Toc225158520 \h </w:instrText>
      </w:r>
      <w:r>
        <w:rPr>
          <w:noProof/>
        </w:rPr>
      </w:r>
      <w:r>
        <w:rPr>
          <w:noProof/>
        </w:rPr>
        <w:fldChar w:fldCharType="separate"/>
      </w:r>
      <w:r>
        <w:rPr>
          <w:noProof/>
        </w:rPr>
        <w:t>13</w:t>
      </w:r>
      <w:r>
        <w:rPr>
          <w:noProof/>
        </w:rPr>
        <w:fldChar w:fldCharType="end"/>
      </w:r>
    </w:p>
    <w:p w14:paraId="448ACB35" w14:textId="5D308E76" w:rsidR="002C6C70" w:rsidRDefault="002C6C70">
      <w:pPr>
        <w:pStyle w:val="TOC2"/>
        <w:rPr>
          <w:noProof/>
          <w:color w:val="auto"/>
          <w:kern w:val="2"/>
          <w:sz w:val="24"/>
          <w:szCs w:val="24"/>
          <w:lang w:eastAsia="en-GB"/>
          <w14:ligatures w14:val="standardContextual"/>
        </w:rPr>
      </w:pPr>
      <w:r w:rsidRPr="00C4051D">
        <w:rPr>
          <w:noProof/>
        </w:rPr>
        <w:t>3.4.</w:t>
      </w:r>
      <w:r>
        <w:rPr>
          <w:noProof/>
          <w:color w:val="auto"/>
          <w:kern w:val="2"/>
          <w:sz w:val="24"/>
          <w:szCs w:val="24"/>
          <w:lang w:eastAsia="en-GB"/>
          <w14:ligatures w14:val="standardContextual"/>
        </w:rPr>
        <w:tab/>
      </w:r>
      <w:r>
        <w:rPr>
          <w:noProof/>
        </w:rPr>
        <w:t>Other Constraints</w:t>
      </w:r>
      <w:r>
        <w:rPr>
          <w:noProof/>
        </w:rPr>
        <w:tab/>
      </w:r>
      <w:r>
        <w:rPr>
          <w:noProof/>
        </w:rPr>
        <w:fldChar w:fldCharType="begin"/>
      </w:r>
      <w:r>
        <w:rPr>
          <w:noProof/>
        </w:rPr>
        <w:instrText xml:space="preserve"> PAGEREF _Toc225158521 \h </w:instrText>
      </w:r>
      <w:r>
        <w:rPr>
          <w:noProof/>
        </w:rPr>
      </w:r>
      <w:r>
        <w:rPr>
          <w:noProof/>
        </w:rPr>
        <w:fldChar w:fldCharType="separate"/>
      </w:r>
      <w:r>
        <w:rPr>
          <w:noProof/>
        </w:rPr>
        <w:t>17</w:t>
      </w:r>
      <w:r>
        <w:rPr>
          <w:noProof/>
        </w:rPr>
        <w:fldChar w:fldCharType="end"/>
      </w:r>
    </w:p>
    <w:p w14:paraId="1BA28513" w14:textId="7505A4AC"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3.4.1.</w:t>
      </w:r>
      <w:r>
        <w:rPr>
          <w:noProof/>
          <w:color w:val="auto"/>
          <w:kern w:val="2"/>
          <w:sz w:val="24"/>
          <w:szCs w:val="24"/>
          <w:lang w:eastAsia="en-GB"/>
          <w14:ligatures w14:val="standardContextual"/>
        </w:rPr>
        <w:tab/>
      </w:r>
      <w:r>
        <w:rPr>
          <w:noProof/>
        </w:rPr>
        <w:t>Relevant Industrial Standards</w:t>
      </w:r>
      <w:r>
        <w:rPr>
          <w:noProof/>
        </w:rPr>
        <w:tab/>
      </w:r>
      <w:r>
        <w:rPr>
          <w:noProof/>
        </w:rPr>
        <w:fldChar w:fldCharType="begin"/>
      </w:r>
      <w:r>
        <w:rPr>
          <w:noProof/>
        </w:rPr>
        <w:instrText xml:space="preserve"> PAGEREF _Toc225158522 \h </w:instrText>
      </w:r>
      <w:r>
        <w:rPr>
          <w:noProof/>
        </w:rPr>
      </w:r>
      <w:r>
        <w:rPr>
          <w:noProof/>
        </w:rPr>
        <w:fldChar w:fldCharType="separate"/>
      </w:r>
      <w:r>
        <w:rPr>
          <w:noProof/>
        </w:rPr>
        <w:t>17</w:t>
      </w:r>
      <w:r>
        <w:rPr>
          <w:noProof/>
        </w:rPr>
        <w:fldChar w:fldCharType="end"/>
      </w:r>
    </w:p>
    <w:p w14:paraId="44D7F50E" w14:textId="1DC1AAB0"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3.4.2.</w:t>
      </w:r>
      <w:r>
        <w:rPr>
          <w:noProof/>
          <w:color w:val="auto"/>
          <w:kern w:val="2"/>
          <w:sz w:val="24"/>
          <w:szCs w:val="24"/>
          <w:lang w:eastAsia="en-GB"/>
          <w14:ligatures w14:val="standardContextual"/>
        </w:rPr>
        <w:tab/>
      </w:r>
      <w:r>
        <w:rPr>
          <w:noProof/>
        </w:rPr>
        <w:t>Operational Nodes</w:t>
      </w:r>
      <w:r>
        <w:rPr>
          <w:noProof/>
        </w:rPr>
        <w:tab/>
      </w:r>
      <w:r>
        <w:rPr>
          <w:noProof/>
        </w:rPr>
        <w:fldChar w:fldCharType="begin"/>
      </w:r>
      <w:r>
        <w:rPr>
          <w:noProof/>
        </w:rPr>
        <w:instrText xml:space="preserve"> PAGEREF _Toc225158523 \h </w:instrText>
      </w:r>
      <w:r>
        <w:rPr>
          <w:noProof/>
        </w:rPr>
      </w:r>
      <w:r>
        <w:rPr>
          <w:noProof/>
        </w:rPr>
        <w:fldChar w:fldCharType="separate"/>
      </w:r>
      <w:r>
        <w:rPr>
          <w:noProof/>
        </w:rPr>
        <w:t>17</w:t>
      </w:r>
      <w:r>
        <w:rPr>
          <w:noProof/>
        </w:rPr>
        <w:fldChar w:fldCharType="end"/>
      </w:r>
    </w:p>
    <w:p w14:paraId="2BE0FB0B" w14:textId="76A4E7A7"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3.4.3.</w:t>
      </w:r>
      <w:r>
        <w:rPr>
          <w:noProof/>
          <w:color w:val="auto"/>
          <w:kern w:val="2"/>
          <w:sz w:val="24"/>
          <w:szCs w:val="24"/>
          <w:lang w:eastAsia="en-GB"/>
          <w14:ligatures w14:val="standardContextual"/>
        </w:rPr>
        <w:tab/>
      </w:r>
      <w:r>
        <w:rPr>
          <w:noProof/>
        </w:rPr>
        <w:t>Operational Activities</w:t>
      </w:r>
      <w:r>
        <w:rPr>
          <w:noProof/>
        </w:rPr>
        <w:tab/>
      </w:r>
      <w:r>
        <w:rPr>
          <w:noProof/>
        </w:rPr>
        <w:fldChar w:fldCharType="begin"/>
      </w:r>
      <w:r>
        <w:rPr>
          <w:noProof/>
        </w:rPr>
        <w:instrText xml:space="preserve"> PAGEREF _Toc225158524 \h </w:instrText>
      </w:r>
      <w:r>
        <w:rPr>
          <w:noProof/>
        </w:rPr>
      </w:r>
      <w:r>
        <w:rPr>
          <w:noProof/>
        </w:rPr>
        <w:fldChar w:fldCharType="separate"/>
      </w:r>
      <w:r>
        <w:rPr>
          <w:noProof/>
        </w:rPr>
        <w:t>17</w:t>
      </w:r>
      <w:r>
        <w:rPr>
          <w:noProof/>
        </w:rPr>
        <w:fldChar w:fldCharType="end"/>
      </w:r>
    </w:p>
    <w:p w14:paraId="710BB07B" w14:textId="5CE97E1E"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3.4.4.</w:t>
      </w:r>
      <w:r>
        <w:rPr>
          <w:noProof/>
          <w:color w:val="auto"/>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_Toc225158525 \h </w:instrText>
      </w:r>
      <w:r>
        <w:rPr>
          <w:noProof/>
        </w:rPr>
      </w:r>
      <w:r>
        <w:rPr>
          <w:noProof/>
        </w:rPr>
        <w:fldChar w:fldCharType="separate"/>
      </w:r>
      <w:r>
        <w:rPr>
          <w:noProof/>
        </w:rPr>
        <w:t>18</w:t>
      </w:r>
      <w:r>
        <w:rPr>
          <w:noProof/>
        </w:rPr>
        <w:fldChar w:fldCharType="end"/>
      </w:r>
    </w:p>
    <w:p w14:paraId="687E5691" w14:textId="5DC2C918" w:rsidR="002C6C70" w:rsidRDefault="002C6C70">
      <w:pPr>
        <w:pStyle w:val="TOC1"/>
        <w:rPr>
          <w:b w:val="0"/>
          <w:caps w:val="0"/>
          <w:noProof/>
          <w:color w:val="auto"/>
          <w:kern w:val="2"/>
          <w:sz w:val="24"/>
          <w:szCs w:val="24"/>
          <w:lang w:eastAsia="en-GB"/>
          <w14:ligatures w14:val="standardContextual"/>
        </w:rPr>
      </w:pPr>
      <w:r w:rsidRPr="00C4051D">
        <w:rPr>
          <w:noProof/>
        </w:rPr>
        <w:t>4.</w:t>
      </w:r>
      <w:r>
        <w:rPr>
          <w:b w:val="0"/>
          <w:caps w:val="0"/>
          <w:noProof/>
          <w:color w:val="auto"/>
          <w:kern w:val="2"/>
          <w:sz w:val="24"/>
          <w:szCs w:val="24"/>
          <w:lang w:eastAsia="en-GB"/>
          <w14:ligatures w14:val="standardContextual"/>
        </w:rPr>
        <w:tab/>
      </w:r>
      <w:r>
        <w:rPr>
          <w:noProof/>
        </w:rPr>
        <w:t>Service Overview</w:t>
      </w:r>
      <w:r>
        <w:rPr>
          <w:noProof/>
        </w:rPr>
        <w:tab/>
      </w:r>
      <w:r>
        <w:rPr>
          <w:noProof/>
        </w:rPr>
        <w:fldChar w:fldCharType="begin"/>
      </w:r>
      <w:r>
        <w:rPr>
          <w:noProof/>
        </w:rPr>
        <w:instrText xml:space="preserve"> PAGEREF _Toc225158526 \h </w:instrText>
      </w:r>
      <w:r>
        <w:rPr>
          <w:noProof/>
        </w:rPr>
      </w:r>
      <w:r>
        <w:rPr>
          <w:noProof/>
        </w:rPr>
        <w:fldChar w:fldCharType="separate"/>
      </w:r>
      <w:r>
        <w:rPr>
          <w:noProof/>
        </w:rPr>
        <w:t>21</w:t>
      </w:r>
      <w:r>
        <w:rPr>
          <w:noProof/>
        </w:rPr>
        <w:fldChar w:fldCharType="end"/>
      </w:r>
    </w:p>
    <w:p w14:paraId="51CBEA7E" w14:textId="468D0167" w:rsidR="002C6C70" w:rsidRDefault="002C6C70">
      <w:pPr>
        <w:pStyle w:val="TOC2"/>
        <w:rPr>
          <w:noProof/>
          <w:color w:val="auto"/>
          <w:kern w:val="2"/>
          <w:sz w:val="24"/>
          <w:szCs w:val="24"/>
          <w:lang w:eastAsia="en-GB"/>
          <w14:ligatures w14:val="standardContextual"/>
        </w:rPr>
      </w:pPr>
      <w:r w:rsidRPr="00C4051D">
        <w:rPr>
          <w:noProof/>
        </w:rPr>
        <w:t>4.1.</w:t>
      </w:r>
      <w:r>
        <w:rPr>
          <w:noProof/>
          <w:color w:val="auto"/>
          <w:kern w:val="2"/>
          <w:sz w:val="24"/>
          <w:szCs w:val="24"/>
          <w:lang w:eastAsia="en-GB"/>
          <w14:ligatures w14:val="standardContextual"/>
        </w:rPr>
        <w:tab/>
      </w:r>
      <w:r>
        <w:rPr>
          <w:noProof/>
        </w:rPr>
        <w:t>The AtoN Information Service</w:t>
      </w:r>
      <w:r>
        <w:rPr>
          <w:noProof/>
        </w:rPr>
        <w:tab/>
      </w:r>
      <w:r>
        <w:rPr>
          <w:noProof/>
        </w:rPr>
        <w:fldChar w:fldCharType="begin"/>
      </w:r>
      <w:r>
        <w:rPr>
          <w:noProof/>
        </w:rPr>
        <w:instrText xml:space="preserve"> PAGEREF _Toc225158527 \h </w:instrText>
      </w:r>
      <w:r>
        <w:rPr>
          <w:noProof/>
        </w:rPr>
      </w:r>
      <w:r>
        <w:rPr>
          <w:noProof/>
        </w:rPr>
        <w:fldChar w:fldCharType="separate"/>
      </w:r>
      <w:r>
        <w:rPr>
          <w:noProof/>
        </w:rPr>
        <w:t>21</w:t>
      </w:r>
      <w:r>
        <w:rPr>
          <w:noProof/>
        </w:rPr>
        <w:fldChar w:fldCharType="end"/>
      </w:r>
    </w:p>
    <w:p w14:paraId="16EFBA3E" w14:textId="64E260EE" w:rsidR="002C6C70" w:rsidRDefault="002C6C70">
      <w:pPr>
        <w:pStyle w:val="TOC2"/>
        <w:rPr>
          <w:noProof/>
          <w:color w:val="auto"/>
          <w:kern w:val="2"/>
          <w:sz w:val="24"/>
          <w:szCs w:val="24"/>
          <w:lang w:eastAsia="en-GB"/>
          <w14:ligatures w14:val="standardContextual"/>
        </w:rPr>
      </w:pPr>
      <w:r w:rsidRPr="00C4051D">
        <w:rPr>
          <w:noProof/>
        </w:rPr>
        <w:t>4.2.</w:t>
      </w:r>
      <w:r>
        <w:rPr>
          <w:noProof/>
          <w:color w:val="auto"/>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_Toc225158528 \h </w:instrText>
      </w:r>
      <w:r>
        <w:rPr>
          <w:noProof/>
        </w:rPr>
      </w:r>
      <w:r>
        <w:rPr>
          <w:noProof/>
        </w:rPr>
        <w:fldChar w:fldCharType="separate"/>
      </w:r>
      <w:r>
        <w:rPr>
          <w:noProof/>
        </w:rPr>
        <w:t>22</w:t>
      </w:r>
      <w:r>
        <w:rPr>
          <w:noProof/>
        </w:rPr>
        <w:fldChar w:fldCharType="end"/>
      </w:r>
    </w:p>
    <w:p w14:paraId="05C8A788" w14:textId="2A239F26"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4.2.1.</w:t>
      </w:r>
      <w:r>
        <w:rPr>
          <w:noProof/>
          <w:color w:val="auto"/>
          <w:kern w:val="2"/>
          <w:sz w:val="24"/>
          <w:szCs w:val="24"/>
          <w:lang w:eastAsia="en-GB"/>
          <w14:ligatures w14:val="standardContextual"/>
        </w:rPr>
        <w:tab/>
      </w:r>
      <w:r>
        <w:rPr>
          <w:noProof/>
        </w:rPr>
        <w:t>Get Operation</w:t>
      </w:r>
      <w:r>
        <w:rPr>
          <w:noProof/>
        </w:rPr>
        <w:tab/>
      </w:r>
      <w:r>
        <w:rPr>
          <w:noProof/>
        </w:rPr>
        <w:fldChar w:fldCharType="begin"/>
      </w:r>
      <w:r>
        <w:rPr>
          <w:noProof/>
        </w:rPr>
        <w:instrText xml:space="preserve"> PAGEREF _Toc225158529 \h </w:instrText>
      </w:r>
      <w:r>
        <w:rPr>
          <w:noProof/>
        </w:rPr>
      </w:r>
      <w:r>
        <w:rPr>
          <w:noProof/>
        </w:rPr>
        <w:fldChar w:fldCharType="separate"/>
      </w:r>
      <w:r>
        <w:rPr>
          <w:noProof/>
        </w:rPr>
        <w:t>23</w:t>
      </w:r>
      <w:r>
        <w:rPr>
          <w:noProof/>
        </w:rPr>
        <w:fldChar w:fldCharType="end"/>
      </w:r>
    </w:p>
    <w:p w14:paraId="7DCFB90F" w14:textId="332CD524"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4.2.2.</w:t>
      </w:r>
      <w:r>
        <w:rPr>
          <w:noProof/>
          <w:color w:val="auto"/>
          <w:kern w:val="2"/>
          <w:sz w:val="24"/>
          <w:szCs w:val="24"/>
          <w:lang w:eastAsia="en-GB"/>
          <w14:ligatures w14:val="standardContextual"/>
        </w:rPr>
        <w:tab/>
      </w:r>
      <w:r>
        <w:rPr>
          <w:noProof/>
        </w:rPr>
        <w:t>Get Summary Operation</w:t>
      </w:r>
      <w:r>
        <w:rPr>
          <w:noProof/>
        </w:rPr>
        <w:tab/>
      </w:r>
      <w:r>
        <w:rPr>
          <w:noProof/>
        </w:rPr>
        <w:fldChar w:fldCharType="begin"/>
      </w:r>
      <w:r>
        <w:rPr>
          <w:noProof/>
        </w:rPr>
        <w:instrText xml:space="preserve"> PAGEREF _Toc225158530 \h </w:instrText>
      </w:r>
      <w:r>
        <w:rPr>
          <w:noProof/>
        </w:rPr>
      </w:r>
      <w:r>
        <w:rPr>
          <w:noProof/>
        </w:rPr>
        <w:fldChar w:fldCharType="separate"/>
      </w:r>
      <w:r>
        <w:rPr>
          <w:noProof/>
        </w:rPr>
        <w:t>24</w:t>
      </w:r>
      <w:r>
        <w:rPr>
          <w:noProof/>
        </w:rPr>
        <w:fldChar w:fldCharType="end"/>
      </w:r>
    </w:p>
    <w:p w14:paraId="24FB7E8B" w14:textId="59AC5E34"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4.2.3.</w:t>
      </w:r>
      <w:r>
        <w:rPr>
          <w:noProof/>
          <w:color w:val="auto"/>
          <w:kern w:val="2"/>
          <w:sz w:val="24"/>
          <w:szCs w:val="24"/>
          <w:lang w:eastAsia="en-GB"/>
          <w14:ligatures w14:val="standardContextual"/>
        </w:rPr>
        <w:tab/>
      </w:r>
      <w:r>
        <w:rPr>
          <w:noProof/>
        </w:rPr>
        <w:t>Subscription Operation</w:t>
      </w:r>
      <w:r>
        <w:rPr>
          <w:noProof/>
        </w:rPr>
        <w:tab/>
      </w:r>
      <w:r>
        <w:rPr>
          <w:noProof/>
        </w:rPr>
        <w:fldChar w:fldCharType="begin"/>
      </w:r>
      <w:r>
        <w:rPr>
          <w:noProof/>
        </w:rPr>
        <w:instrText xml:space="preserve"> PAGEREF _Toc225158531 \h </w:instrText>
      </w:r>
      <w:r>
        <w:rPr>
          <w:noProof/>
        </w:rPr>
      </w:r>
      <w:r>
        <w:rPr>
          <w:noProof/>
        </w:rPr>
        <w:fldChar w:fldCharType="separate"/>
      </w:r>
      <w:r>
        <w:rPr>
          <w:noProof/>
        </w:rPr>
        <w:t>26</w:t>
      </w:r>
      <w:r>
        <w:rPr>
          <w:noProof/>
        </w:rPr>
        <w:fldChar w:fldCharType="end"/>
      </w:r>
    </w:p>
    <w:p w14:paraId="5F326B58" w14:textId="509378E3"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4.2.4.</w:t>
      </w:r>
      <w:r>
        <w:rPr>
          <w:noProof/>
          <w:color w:val="auto"/>
          <w:kern w:val="2"/>
          <w:sz w:val="24"/>
          <w:szCs w:val="24"/>
          <w:lang w:eastAsia="en-GB"/>
          <w14:ligatures w14:val="standardContextual"/>
        </w:rPr>
        <w:tab/>
      </w:r>
      <w:r>
        <w:rPr>
          <w:noProof/>
        </w:rPr>
        <w:t>Remove Subscription Operation</w:t>
      </w:r>
      <w:r>
        <w:rPr>
          <w:noProof/>
        </w:rPr>
        <w:tab/>
      </w:r>
      <w:r>
        <w:rPr>
          <w:noProof/>
        </w:rPr>
        <w:fldChar w:fldCharType="begin"/>
      </w:r>
      <w:r>
        <w:rPr>
          <w:noProof/>
        </w:rPr>
        <w:instrText xml:space="preserve"> PAGEREF _Toc225158532 \h </w:instrText>
      </w:r>
      <w:r>
        <w:rPr>
          <w:noProof/>
        </w:rPr>
      </w:r>
      <w:r>
        <w:rPr>
          <w:noProof/>
        </w:rPr>
        <w:fldChar w:fldCharType="separate"/>
      </w:r>
      <w:r>
        <w:rPr>
          <w:noProof/>
        </w:rPr>
        <w:t>28</w:t>
      </w:r>
      <w:r>
        <w:rPr>
          <w:noProof/>
        </w:rPr>
        <w:fldChar w:fldCharType="end"/>
      </w:r>
    </w:p>
    <w:p w14:paraId="2C4CE86F" w14:textId="1A5D8C8E"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4.2.5.</w:t>
      </w:r>
      <w:r>
        <w:rPr>
          <w:noProof/>
          <w:color w:val="auto"/>
          <w:kern w:val="2"/>
          <w:sz w:val="24"/>
          <w:szCs w:val="24"/>
          <w:lang w:eastAsia="en-GB"/>
          <w14:ligatures w14:val="standardContextual"/>
        </w:rPr>
        <w:tab/>
      </w:r>
      <w:r>
        <w:rPr>
          <w:noProof/>
        </w:rPr>
        <w:t>Upload Operation</w:t>
      </w:r>
      <w:r>
        <w:rPr>
          <w:noProof/>
        </w:rPr>
        <w:tab/>
      </w:r>
      <w:r>
        <w:rPr>
          <w:noProof/>
        </w:rPr>
        <w:fldChar w:fldCharType="begin"/>
      </w:r>
      <w:r>
        <w:rPr>
          <w:noProof/>
        </w:rPr>
        <w:instrText xml:space="preserve"> PAGEREF _Toc225158533 \h </w:instrText>
      </w:r>
      <w:r>
        <w:rPr>
          <w:noProof/>
        </w:rPr>
      </w:r>
      <w:r>
        <w:rPr>
          <w:noProof/>
        </w:rPr>
        <w:fldChar w:fldCharType="separate"/>
      </w:r>
      <w:r>
        <w:rPr>
          <w:noProof/>
        </w:rPr>
        <w:t>29</w:t>
      </w:r>
      <w:r>
        <w:rPr>
          <w:noProof/>
        </w:rPr>
        <w:fldChar w:fldCharType="end"/>
      </w:r>
    </w:p>
    <w:p w14:paraId="1D7DBF85" w14:textId="3BD11775" w:rsidR="002C6C70" w:rsidRDefault="002C6C70">
      <w:pPr>
        <w:pStyle w:val="TOC3"/>
        <w:tabs>
          <w:tab w:val="left" w:pos="1418"/>
        </w:tabs>
        <w:rPr>
          <w:noProof/>
          <w:color w:val="auto"/>
          <w:kern w:val="2"/>
          <w:sz w:val="24"/>
          <w:szCs w:val="24"/>
          <w:lang w:eastAsia="en-GB"/>
          <w14:ligatures w14:val="standardContextual"/>
        </w:rPr>
      </w:pPr>
      <w:r w:rsidRPr="00C4051D">
        <w:rPr>
          <w:noProof/>
          <w:color w:val="00558C" w:themeColor="accent1"/>
        </w:rPr>
        <w:t>4.2.6.</w:t>
      </w:r>
      <w:r>
        <w:rPr>
          <w:noProof/>
          <w:color w:val="auto"/>
          <w:kern w:val="2"/>
          <w:sz w:val="24"/>
          <w:szCs w:val="24"/>
          <w:lang w:eastAsia="en-GB"/>
          <w14:ligatures w14:val="standardContextual"/>
        </w:rPr>
        <w:tab/>
      </w:r>
      <w:r>
        <w:rPr>
          <w:noProof/>
        </w:rPr>
        <w:t>Subscription Notification Operation (Consumer Operation - Optional)</w:t>
      </w:r>
      <w:r>
        <w:rPr>
          <w:noProof/>
        </w:rPr>
        <w:tab/>
      </w:r>
      <w:r>
        <w:rPr>
          <w:noProof/>
        </w:rPr>
        <w:fldChar w:fldCharType="begin"/>
      </w:r>
      <w:r>
        <w:rPr>
          <w:noProof/>
        </w:rPr>
        <w:instrText xml:space="preserve"> PAGEREF _Toc225158534 \h </w:instrText>
      </w:r>
      <w:r>
        <w:rPr>
          <w:noProof/>
        </w:rPr>
      </w:r>
      <w:r>
        <w:rPr>
          <w:noProof/>
        </w:rPr>
        <w:fldChar w:fldCharType="separate"/>
      </w:r>
      <w:r>
        <w:rPr>
          <w:noProof/>
        </w:rPr>
        <w:t>30</w:t>
      </w:r>
      <w:r>
        <w:rPr>
          <w:noProof/>
        </w:rPr>
        <w:fldChar w:fldCharType="end"/>
      </w:r>
    </w:p>
    <w:p w14:paraId="7C2918F2" w14:textId="732C694A" w:rsidR="002C6C70" w:rsidRDefault="002C6C70">
      <w:pPr>
        <w:pStyle w:val="TOC1"/>
        <w:rPr>
          <w:b w:val="0"/>
          <w:caps w:val="0"/>
          <w:noProof/>
          <w:color w:val="auto"/>
          <w:kern w:val="2"/>
          <w:sz w:val="24"/>
          <w:szCs w:val="24"/>
          <w:lang w:eastAsia="en-GB"/>
          <w14:ligatures w14:val="standardContextual"/>
        </w:rPr>
      </w:pPr>
      <w:r w:rsidRPr="00C4051D">
        <w:rPr>
          <w:noProof/>
        </w:rPr>
        <w:t>5.</w:t>
      </w:r>
      <w:r>
        <w:rPr>
          <w:b w:val="0"/>
          <w:caps w:val="0"/>
          <w:noProof/>
          <w:color w:val="auto"/>
          <w:kern w:val="2"/>
          <w:sz w:val="24"/>
          <w:szCs w:val="24"/>
          <w:lang w:eastAsia="en-GB"/>
          <w14:ligatures w14:val="standardContextual"/>
        </w:rPr>
        <w:tab/>
      </w:r>
      <w:r>
        <w:rPr>
          <w:noProof/>
        </w:rPr>
        <w:t>Service Data Model</w:t>
      </w:r>
      <w:r>
        <w:rPr>
          <w:noProof/>
        </w:rPr>
        <w:tab/>
      </w:r>
      <w:r>
        <w:rPr>
          <w:noProof/>
        </w:rPr>
        <w:fldChar w:fldCharType="begin"/>
      </w:r>
      <w:r>
        <w:rPr>
          <w:noProof/>
        </w:rPr>
        <w:instrText xml:space="preserve"> PAGEREF _Toc225158535 \h </w:instrText>
      </w:r>
      <w:r>
        <w:rPr>
          <w:noProof/>
        </w:rPr>
      </w:r>
      <w:r>
        <w:rPr>
          <w:noProof/>
        </w:rPr>
        <w:fldChar w:fldCharType="separate"/>
      </w:r>
      <w:r>
        <w:rPr>
          <w:noProof/>
        </w:rPr>
        <w:t>32</w:t>
      </w:r>
      <w:r>
        <w:rPr>
          <w:noProof/>
        </w:rPr>
        <w:fldChar w:fldCharType="end"/>
      </w:r>
    </w:p>
    <w:p w14:paraId="4FAEEEA1" w14:textId="11706E44" w:rsidR="002C6C70" w:rsidRDefault="002C6C70">
      <w:pPr>
        <w:pStyle w:val="TOC1"/>
        <w:rPr>
          <w:b w:val="0"/>
          <w:caps w:val="0"/>
          <w:noProof/>
          <w:color w:val="auto"/>
          <w:kern w:val="2"/>
          <w:sz w:val="24"/>
          <w:szCs w:val="24"/>
          <w:lang w:eastAsia="en-GB"/>
          <w14:ligatures w14:val="standardContextual"/>
        </w:rPr>
      </w:pPr>
      <w:r w:rsidRPr="00C4051D">
        <w:rPr>
          <w:noProof/>
        </w:rPr>
        <w:t>6.</w:t>
      </w:r>
      <w:r>
        <w:rPr>
          <w:b w:val="0"/>
          <w:caps w:val="0"/>
          <w:noProof/>
          <w:color w:val="auto"/>
          <w:kern w:val="2"/>
          <w:sz w:val="24"/>
          <w:szCs w:val="24"/>
          <w:lang w:eastAsia="en-GB"/>
          <w14:ligatures w14:val="standardContextual"/>
        </w:rPr>
        <w:tab/>
      </w:r>
      <w:r>
        <w:rPr>
          <w:noProof/>
        </w:rPr>
        <w:t>Service Internal Data Model</w:t>
      </w:r>
      <w:r>
        <w:rPr>
          <w:noProof/>
        </w:rPr>
        <w:tab/>
      </w:r>
      <w:r>
        <w:rPr>
          <w:noProof/>
        </w:rPr>
        <w:fldChar w:fldCharType="begin"/>
      </w:r>
      <w:r>
        <w:rPr>
          <w:noProof/>
        </w:rPr>
        <w:instrText xml:space="preserve"> PAGEREF _Toc225158536 \h </w:instrText>
      </w:r>
      <w:r>
        <w:rPr>
          <w:noProof/>
        </w:rPr>
      </w:r>
      <w:r>
        <w:rPr>
          <w:noProof/>
        </w:rPr>
        <w:fldChar w:fldCharType="separate"/>
      </w:r>
      <w:r>
        <w:rPr>
          <w:noProof/>
        </w:rPr>
        <w:t>32</w:t>
      </w:r>
      <w:r>
        <w:rPr>
          <w:noProof/>
        </w:rPr>
        <w:fldChar w:fldCharType="end"/>
      </w:r>
    </w:p>
    <w:p w14:paraId="050573EE" w14:textId="1EF4EEA6" w:rsidR="002C6C70" w:rsidRDefault="002C6C70">
      <w:pPr>
        <w:pStyle w:val="TOC1"/>
        <w:rPr>
          <w:b w:val="0"/>
          <w:caps w:val="0"/>
          <w:noProof/>
          <w:color w:val="auto"/>
          <w:kern w:val="2"/>
          <w:sz w:val="24"/>
          <w:szCs w:val="24"/>
          <w:lang w:eastAsia="en-GB"/>
          <w14:ligatures w14:val="standardContextual"/>
        </w:rPr>
      </w:pPr>
      <w:r w:rsidRPr="00C4051D">
        <w:rPr>
          <w:noProof/>
        </w:rPr>
        <w:t>7.</w:t>
      </w:r>
      <w:r>
        <w:rPr>
          <w:b w:val="0"/>
          <w:caps w:val="0"/>
          <w:noProof/>
          <w:color w:val="auto"/>
          <w:kern w:val="2"/>
          <w:sz w:val="24"/>
          <w:szCs w:val="24"/>
          <w:lang w:eastAsia="en-GB"/>
          <w14:ligatures w14:val="standardContextual"/>
        </w:rPr>
        <w:tab/>
      </w:r>
      <w:r>
        <w:rPr>
          <w:noProof/>
        </w:rPr>
        <w:t>Service Dynamic Behaviour</w:t>
      </w:r>
      <w:r>
        <w:rPr>
          <w:noProof/>
        </w:rPr>
        <w:tab/>
      </w:r>
      <w:r>
        <w:rPr>
          <w:noProof/>
        </w:rPr>
        <w:fldChar w:fldCharType="begin"/>
      </w:r>
      <w:r>
        <w:rPr>
          <w:noProof/>
        </w:rPr>
        <w:instrText xml:space="preserve"> PAGEREF _Toc225158537 \h </w:instrText>
      </w:r>
      <w:r>
        <w:rPr>
          <w:noProof/>
        </w:rPr>
      </w:r>
      <w:r>
        <w:rPr>
          <w:noProof/>
        </w:rPr>
        <w:fldChar w:fldCharType="separate"/>
      </w:r>
      <w:r>
        <w:rPr>
          <w:noProof/>
        </w:rPr>
        <w:t>33</w:t>
      </w:r>
      <w:r>
        <w:rPr>
          <w:noProof/>
        </w:rPr>
        <w:fldChar w:fldCharType="end"/>
      </w:r>
    </w:p>
    <w:p w14:paraId="3D3D11FB" w14:textId="432BC6D9" w:rsidR="002C6C70" w:rsidRDefault="002C6C70">
      <w:pPr>
        <w:pStyle w:val="TOC1"/>
        <w:rPr>
          <w:b w:val="0"/>
          <w:caps w:val="0"/>
          <w:noProof/>
          <w:color w:val="auto"/>
          <w:kern w:val="2"/>
          <w:sz w:val="24"/>
          <w:szCs w:val="24"/>
          <w:lang w:eastAsia="en-GB"/>
          <w14:ligatures w14:val="standardContextual"/>
        </w:rPr>
      </w:pPr>
      <w:r w:rsidRPr="00C4051D">
        <w:rPr>
          <w:noProof/>
        </w:rPr>
        <w:t>8.</w:t>
      </w:r>
      <w:r>
        <w:rPr>
          <w:b w:val="0"/>
          <w:caps w:val="0"/>
          <w:noProof/>
          <w:color w:val="auto"/>
          <w:kern w:val="2"/>
          <w:sz w:val="24"/>
          <w:szCs w:val="24"/>
          <w:lang w:eastAsia="en-GB"/>
          <w14:ligatures w14:val="standardContextual"/>
        </w:rPr>
        <w:tab/>
      </w:r>
      <w:r>
        <w:rPr>
          <w:noProof/>
        </w:rPr>
        <w:t>Client-initiated Retrieval of AtoN Information</w:t>
      </w:r>
      <w:r>
        <w:rPr>
          <w:noProof/>
        </w:rPr>
        <w:tab/>
      </w:r>
      <w:r>
        <w:rPr>
          <w:noProof/>
        </w:rPr>
        <w:fldChar w:fldCharType="begin"/>
      </w:r>
      <w:r>
        <w:rPr>
          <w:noProof/>
        </w:rPr>
        <w:instrText xml:space="preserve"> PAGEREF _Toc225158538 \h </w:instrText>
      </w:r>
      <w:r>
        <w:rPr>
          <w:noProof/>
        </w:rPr>
      </w:r>
      <w:r>
        <w:rPr>
          <w:noProof/>
        </w:rPr>
        <w:fldChar w:fldCharType="separate"/>
      </w:r>
      <w:r>
        <w:rPr>
          <w:noProof/>
        </w:rPr>
        <w:t>33</w:t>
      </w:r>
      <w:r>
        <w:rPr>
          <w:noProof/>
        </w:rPr>
        <w:fldChar w:fldCharType="end"/>
      </w:r>
    </w:p>
    <w:p w14:paraId="6AE79D94" w14:textId="013BBBFA" w:rsidR="002C6C70" w:rsidRDefault="002C6C70">
      <w:pPr>
        <w:pStyle w:val="TOC1"/>
        <w:rPr>
          <w:b w:val="0"/>
          <w:caps w:val="0"/>
          <w:noProof/>
          <w:color w:val="auto"/>
          <w:kern w:val="2"/>
          <w:sz w:val="24"/>
          <w:szCs w:val="24"/>
          <w:lang w:eastAsia="en-GB"/>
          <w14:ligatures w14:val="standardContextual"/>
        </w:rPr>
      </w:pPr>
      <w:r w:rsidRPr="00C4051D">
        <w:rPr>
          <w:noProof/>
        </w:rPr>
        <w:t>9.</w:t>
      </w:r>
      <w:r>
        <w:rPr>
          <w:b w:val="0"/>
          <w:caps w:val="0"/>
          <w:noProof/>
          <w:color w:val="auto"/>
          <w:kern w:val="2"/>
          <w:sz w:val="24"/>
          <w:szCs w:val="24"/>
          <w:lang w:eastAsia="en-GB"/>
          <w14:ligatures w14:val="standardContextual"/>
        </w:rPr>
        <w:tab/>
      </w:r>
      <w:r>
        <w:rPr>
          <w:noProof/>
        </w:rPr>
        <w:t>Subscription-based AtoN Information Propagation</w:t>
      </w:r>
      <w:r>
        <w:rPr>
          <w:noProof/>
        </w:rPr>
        <w:tab/>
      </w:r>
      <w:r>
        <w:rPr>
          <w:noProof/>
        </w:rPr>
        <w:fldChar w:fldCharType="begin"/>
      </w:r>
      <w:r>
        <w:rPr>
          <w:noProof/>
        </w:rPr>
        <w:instrText xml:space="preserve"> PAGEREF _Toc225158539 \h </w:instrText>
      </w:r>
      <w:r>
        <w:rPr>
          <w:noProof/>
        </w:rPr>
      </w:r>
      <w:r>
        <w:rPr>
          <w:noProof/>
        </w:rPr>
        <w:fldChar w:fldCharType="separate"/>
      </w:r>
      <w:r>
        <w:rPr>
          <w:noProof/>
        </w:rPr>
        <w:t>34</w:t>
      </w:r>
      <w:r>
        <w:rPr>
          <w:noProof/>
        </w:rPr>
        <w:fldChar w:fldCharType="end"/>
      </w:r>
    </w:p>
    <w:p w14:paraId="529516F9" w14:textId="03EFBC61" w:rsidR="002C6C70" w:rsidRDefault="002C6C70">
      <w:pPr>
        <w:pStyle w:val="TOC1"/>
        <w:rPr>
          <w:b w:val="0"/>
          <w:caps w:val="0"/>
          <w:noProof/>
          <w:color w:val="auto"/>
          <w:kern w:val="2"/>
          <w:sz w:val="24"/>
          <w:szCs w:val="24"/>
          <w:lang w:eastAsia="en-GB"/>
          <w14:ligatures w14:val="standardContextual"/>
        </w:rPr>
      </w:pPr>
      <w:r w:rsidRPr="00C4051D">
        <w:rPr>
          <w:noProof/>
        </w:rPr>
        <w:t>10.</w:t>
      </w:r>
      <w:r>
        <w:rPr>
          <w:b w:val="0"/>
          <w:caps w:val="0"/>
          <w:noProof/>
          <w:color w:val="auto"/>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_Toc225158540 \h </w:instrText>
      </w:r>
      <w:r>
        <w:rPr>
          <w:noProof/>
        </w:rPr>
      </w:r>
      <w:r>
        <w:rPr>
          <w:noProof/>
        </w:rPr>
        <w:fldChar w:fldCharType="separate"/>
      </w:r>
      <w:r>
        <w:rPr>
          <w:noProof/>
        </w:rPr>
        <w:t>36</w:t>
      </w:r>
      <w:r>
        <w:rPr>
          <w:noProof/>
        </w:rPr>
        <w:fldChar w:fldCharType="end"/>
      </w:r>
    </w:p>
    <w:p w14:paraId="3C9F30FD" w14:textId="596B9599" w:rsidR="002C6C70" w:rsidRDefault="002C6C70">
      <w:pPr>
        <w:pStyle w:val="TOC1"/>
        <w:rPr>
          <w:b w:val="0"/>
          <w:caps w:val="0"/>
          <w:noProof/>
          <w:color w:val="auto"/>
          <w:kern w:val="2"/>
          <w:sz w:val="24"/>
          <w:szCs w:val="24"/>
          <w:lang w:eastAsia="en-GB"/>
          <w14:ligatures w14:val="standardContextual"/>
        </w:rPr>
      </w:pPr>
      <w:r w:rsidRPr="00C4051D">
        <w:rPr>
          <w:noProof/>
        </w:rPr>
        <w:lastRenderedPageBreak/>
        <w:t>11.</w:t>
      </w:r>
      <w:r>
        <w:rPr>
          <w:b w:val="0"/>
          <w:caps w:val="0"/>
          <w:noProof/>
          <w:color w:val="auto"/>
          <w:kern w:val="2"/>
          <w:sz w:val="24"/>
          <w:szCs w:val="24"/>
          <w:lang w:eastAsia="en-GB"/>
          <w14:ligatures w14:val="standardContextual"/>
        </w:rPr>
        <w:tab/>
      </w:r>
      <w:r>
        <w:rPr>
          <w:noProof/>
        </w:rPr>
        <w:t>Acronyms and Terminology</w:t>
      </w:r>
      <w:r>
        <w:rPr>
          <w:noProof/>
        </w:rPr>
        <w:tab/>
      </w:r>
      <w:r>
        <w:rPr>
          <w:noProof/>
        </w:rPr>
        <w:fldChar w:fldCharType="begin"/>
      </w:r>
      <w:r>
        <w:rPr>
          <w:noProof/>
        </w:rPr>
        <w:instrText xml:space="preserve"> PAGEREF _Toc225158541 \h </w:instrText>
      </w:r>
      <w:r>
        <w:rPr>
          <w:noProof/>
        </w:rPr>
      </w:r>
      <w:r>
        <w:rPr>
          <w:noProof/>
        </w:rPr>
        <w:fldChar w:fldCharType="separate"/>
      </w:r>
      <w:r>
        <w:rPr>
          <w:noProof/>
        </w:rPr>
        <w:t>37</w:t>
      </w:r>
      <w:r>
        <w:rPr>
          <w:noProof/>
        </w:rPr>
        <w:fldChar w:fldCharType="end"/>
      </w:r>
    </w:p>
    <w:p w14:paraId="42272E48" w14:textId="157DF922" w:rsidR="002C6C70" w:rsidRDefault="002C6C70">
      <w:pPr>
        <w:pStyle w:val="TOC2"/>
        <w:rPr>
          <w:noProof/>
          <w:color w:val="auto"/>
          <w:kern w:val="2"/>
          <w:sz w:val="24"/>
          <w:szCs w:val="24"/>
          <w:lang w:eastAsia="en-GB"/>
          <w14:ligatures w14:val="standardContextual"/>
        </w:rPr>
      </w:pPr>
      <w:r w:rsidRPr="00C4051D">
        <w:rPr>
          <w:noProof/>
        </w:rPr>
        <w:t>11.1.</w:t>
      </w:r>
      <w:r>
        <w:rPr>
          <w:noProof/>
          <w:color w:val="auto"/>
          <w:kern w:val="2"/>
          <w:sz w:val="24"/>
          <w:szCs w:val="24"/>
          <w:lang w:eastAsia="en-GB"/>
          <w14:ligatures w14:val="standardContextual"/>
        </w:rPr>
        <w:tab/>
      </w:r>
      <w:r>
        <w:rPr>
          <w:noProof/>
        </w:rPr>
        <w:t>Acronyms</w:t>
      </w:r>
      <w:r>
        <w:rPr>
          <w:noProof/>
        </w:rPr>
        <w:tab/>
      </w:r>
      <w:r>
        <w:rPr>
          <w:noProof/>
        </w:rPr>
        <w:fldChar w:fldCharType="begin"/>
      </w:r>
      <w:r>
        <w:rPr>
          <w:noProof/>
        </w:rPr>
        <w:instrText xml:space="preserve"> PAGEREF _Toc225158542 \h </w:instrText>
      </w:r>
      <w:r>
        <w:rPr>
          <w:noProof/>
        </w:rPr>
      </w:r>
      <w:r>
        <w:rPr>
          <w:noProof/>
        </w:rPr>
        <w:fldChar w:fldCharType="separate"/>
      </w:r>
      <w:r>
        <w:rPr>
          <w:noProof/>
        </w:rPr>
        <w:t>37</w:t>
      </w:r>
      <w:r>
        <w:rPr>
          <w:noProof/>
        </w:rPr>
        <w:fldChar w:fldCharType="end"/>
      </w:r>
    </w:p>
    <w:p w14:paraId="66B400AA" w14:textId="742747DC" w:rsidR="00066EC8" w:rsidRDefault="00000000">
      <w:pPr>
        <w:pStyle w:val="BodyText"/>
      </w:pPr>
      <w:r>
        <w:rPr>
          <w:rFonts w:eastAsia="Times New Roman" w:cs="Times New Roman"/>
          <w:b/>
          <w:color w:val="00558C" w:themeColor="accent1"/>
          <w:szCs w:val="20"/>
        </w:rPr>
        <w:fldChar w:fldCharType="end"/>
      </w:r>
    </w:p>
    <w:p w14:paraId="228A72FE" w14:textId="77777777" w:rsidR="00066EC8" w:rsidRDefault="00000000">
      <w:pPr>
        <w:pStyle w:val="ListofFigures"/>
      </w:pPr>
      <w:r>
        <w:t xml:space="preserve">List of Tables </w:t>
      </w:r>
    </w:p>
    <w:p w14:paraId="151EA2B7" w14:textId="488F9D95" w:rsidR="002C6C70" w:rsidRDefault="00000000">
      <w:pPr>
        <w:pStyle w:val="TableofFigures"/>
        <w:rPr>
          <w:i w:val="0"/>
          <w:noProof/>
          <w:color w:val="auto"/>
          <w:kern w:val="2"/>
          <w:sz w:val="24"/>
          <w:szCs w:val="24"/>
          <w:lang w:eastAsia="en-GB"/>
          <w14:ligatures w14:val="standardContextual"/>
        </w:rPr>
      </w:pPr>
      <w:r>
        <w:rPr>
          <w:i w:val="0"/>
          <w:color w:val="auto"/>
        </w:rPr>
        <w:fldChar w:fldCharType="begin"/>
      </w:r>
      <w:r>
        <w:instrText xml:space="preserve"> TOC \t "Table Caption,1" \c "Figure" </w:instrText>
      </w:r>
      <w:r>
        <w:rPr>
          <w:i w:val="0"/>
          <w:color w:val="auto"/>
        </w:rPr>
        <w:fldChar w:fldCharType="separate"/>
      </w:r>
      <w:r w:rsidR="002C6C70" w:rsidRPr="00460A8C">
        <w:rPr>
          <w:rFonts w:ascii="Calibri" w:hAnsi="Calibri"/>
          <w:noProof/>
        </w:rPr>
        <w:t>Table 1</w:t>
      </w:r>
      <w:r w:rsidR="002C6C70">
        <w:rPr>
          <w:i w:val="0"/>
          <w:noProof/>
          <w:color w:val="auto"/>
          <w:kern w:val="2"/>
          <w:sz w:val="24"/>
          <w:szCs w:val="24"/>
          <w:lang w:eastAsia="en-GB"/>
          <w14:ligatures w14:val="standardContextual"/>
        </w:rPr>
        <w:tab/>
      </w:r>
      <w:r w:rsidR="002C6C70">
        <w:rPr>
          <w:noProof/>
        </w:rPr>
        <w:t>Service Identification Information.</w:t>
      </w:r>
      <w:r w:rsidR="002C6C70">
        <w:rPr>
          <w:noProof/>
        </w:rPr>
        <w:tab/>
      </w:r>
      <w:r w:rsidR="002C6C70">
        <w:rPr>
          <w:noProof/>
        </w:rPr>
        <w:fldChar w:fldCharType="begin"/>
      </w:r>
      <w:r w:rsidR="002C6C70">
        <w:rPr>
          <w:noProof/>
        </w:rPr>
        <w:instrText xml:space="preserve"> PAGEREF _Toc225158435 \h </w:instrText>
      </w:r>
      <w:r w:rsidR="002C6C70">
        <w:rPr>
          <w:noProof/>
        </w:rPr>
      </w:r>
      <w:r w:rsidR="002C6C70">
        <w:rPr>
          <w:noProof/>
        </w:rPr>
        <w:fldChar w:fldCharType="separate"/>
      </w:r>
      <w:r w:rsidR="002C6C70">
        <w:rPr>
          <w:noProof/>
        </w:rPr>
        <w:t>7</w:t>
      </w:r>
      <w:r w:rsidR="002C6C70">
        <w:rPr>
          <w:noProof/>
        </w:rPr>
        <w:fldChar w:fldCharType="end"/>
      </w:r>
    </w:p>
    <w:p w14:paraId="53550532" w14:textId="5310513B"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2</w:t>
      </w:r>
      <w:r>
        <w:rPr>
          <w:i w:val="0"/>
          <w:noProof/>
          <w:color w:val="auto"/>
          <w:kern w:val="2"/>
          <w:sz w:val="24"/>
          <w:szCs w:val="24"/>
          <w:lang w:eastAsia="en-GB"/>
          <w14:ligatures w14:val="standardContextual"/>
        </w:rPr>
        <w:tab/>
      </w:r>
      <w:r>
        <w:rPr>
          <w:noProof/>
        </w:rPr>
        <w:t>Functional Requirements for the MS-2 – Aids to Navigation Service.</w:t>
      </w:r>
      <w:r>
        <w:rPr>
          <w:noProof/>
        </w:rPr>
        <w:tab/>
      </w:r>
      <w:r>
        <w:rPr>
          <w:noProof/>
        </w:rPr>
        <w:fldChar w:fldCharType="begin"/>
      </w:r>
      <w:r>
        <w:rPr>
          <w:noProof/>
        </w:rPr>
        <w:instrText xml:space="preserve"> PAGEREF _Toc225158436 \h </w:instrText>
      </w:r>
      <w:r>
        <w:rPr>
          <w:noProof/>
        </w:rPr>
      </w:r>
      <w:r>
        <w:rPr>
          <w:noProof/>
        </w:rPr>
        <w:fldChar w:fldCharType="separate"/>
      </w:r>
      <w:r>
        <w:rPr>
          <w:noProof/>
        </w:rPr>
        <w:t>12</w:t>
      </w:r>
      <w:r>
        <w:rPr>
          <w:noProof/>
        </w:rPr>
        <w:fldChar w:fldCharType="end"/>
      </w:r>
    </w:p>
    <w:p w14:paraId="7FB52A46" w14:textId="5C45BBD3"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3</w:t>
      </w:r>
      <w:r>
        <w:rPr>
          <w:i w:val="0"/>
          <w:noProof/>
          <w:color w:val="auto"/>
          <w:kern w:val="2"/>
          <w:sz w:val="24"/>
          <w:szCs w:val="24"/>
          <w:lang w:eastAsia="en-GB"/>
          <w14:ligatures w14:val="standardContextual"/>
        </w:rPr>
        <w:tab/>
      </w:r>
      <w:r>
        <w:rPr>
          <w:noProof/>
        </w:rPr>
        <w:t>Non-Functional Requirements for the MS-2 – Aids to Navigation Service.</w:t>
      </w:r>
      <w:r>
        <w:rPr>
          <w:noProof/>
        </w:rPr>
        <w:tab/>
      </w:r>
      <w:r>
        <w:rPr>
          <w:noProof/>
        </w:rPr>
        <w:fldChar w:fldCharType="begin"/>
      </w:r>
      <w:r>
        <w:rPr>
          <w:noProof/>
        </w:rPr>
        <w:instrText xml:space="preserve"> PAGEREF _Toc225158437 \h </w:instrText>
      </w:r>
      <w:r>
        <w:rPr>
          <w:noProof/>
        </w:rPr>
      </w:r>
      <w:r>
        <w:rPr>
          <w:noProof/>
        </w:rPr>
        <w:fldChar w:fldCharType="separate"/>
      </w:r>
      <w:r>
        <w:rPr>
          <w:noProof/>
        </w:rPr>
        <w:t>15</w:t>
      </w:r>
      <w:r>
        <w:rPr>
          <w:noProof/>
        </w:rPr>
        <w:fldChar w:fldCharType="end"/>
      </w:r>
    </w:p>
    <w:p w14:paraId="6423BAD6" w14:textId="0A33386D"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4</w:t>
      </w:r>
      <w:r>
        <w:rPr>
          <w:i w:val="0"/>
          <w:noProof/>
          <w:color w:val="auto"/>
          <w:kern w:val="2"/>
          <w:sz w:val="24"/>
          <w:szCs w:val="24"/>
          <w:lang w:eastAsia="en-GB"/>
          <w14:ligatures w14:val="standardContextual"/>
        </w:rPr>
        <w:tab/>
      </w:r>
      <w:r>
        <w:rPr>
          <w:noProof/>
        </w:rPr>
        <w:t>Operational Nodes providing the S-125 service.</w:t>
      </w:r>
      <w:r>
        <w:rPr>
          <w:noProof/>
        </w:rPr>
        <w:tab/>
      </w:r>
      <w:r>
        <w:rPr>
          <w:noProof/>
        </w:rPr>
        <w:fldChar w:fldCharType="begin"/>
      </w:r>
      <w:r>
        <w:rPr>
          <w:noProof/>
        </w:rPr>
        <w:instrText xml:space="preserve"> PAGEREF _Toc225158438 \h </w:instrText>
      </w:r>
      <w:r>
        <w:rPr>
          <w:noProof/>
        </w:rPr>
      </w:r>
      <w:r>
        <w:rPr>
          <w:noProof/>
        </w:rPr>
        <w:fldChar w:fldCharType="separate"/>
      </w:r>
      <w:r>
        <w:rPr>
          <w:noProof/>
        </w:rPr>
        <w:t>16</w:t>
      </w:r>
      <w:r>
        <w:rPr>
          <w:noProof/>
        </w:rPr>
        <w:fldChar w:fldCharType="end"/>
      </w:r>
    </w:p>
    <w:p w14:paraId="49C383E0" w14:textId="60D6CCAC"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5</w:t>
      </w:r>
      <w:r>
        <w:rPr>
          <w:i w:val="0"/>
          <w:noProof/>
          <w:color w:val="auto"/>
          <w:kern w:val="2"/>
          <w:sz w:val="24"/>
          <w:szCs w:val="24"/>
          <w:lang w:eastAsia="en-GB"/>
          <w14:ligatures w14:val="standardContextual"/>
        </w:rPr>
        <w:tab/>
      </w:r>
      <w:r>
        <w:rPr>
          <w:noProof/>
        </w:rPr>
        <w:t>Operational Activities supported by the S-125 service.</w:t>
      </w:r>
      <w:r>
        <w:rPr>
          <w:noProof/>
        </w:rPr>
        <w:tab/>
      </w:r>
      <w:r>
        <w:rPr>
          <w:noProof/>
        </w:rPr>
        <w:fldChar w:fldCharType="begin"/>
      </w:r>
      <w:r>
        <w:rPr>
          <w:noProof/>
        </w:rPr>
        <w:instrText xml:space="preserve"> PAGEREF _Toc225158439 \h </w:instrText>
      </w:r>
      <w:r>
        <w:rPr>
          <w:noProof/>
        </w:rPr>
      </w:r>
      <w:r>
        <w:rPr>
          <w:noProof/>
        </w:rPr>
        <w:fldChar w:fldCharType="separate"/>
      </w:r>
      <w:r>
        <w:rPr>
          <w:noProof/>
        </w:rPr>
        <w:t>17</w:t>
      </w:r>
      <w:r>
        <w:rPr>
          <w:noProof/>
        </w:rPr>
        <w:fldChar w:fldCharType="end"/>
      </w:r>
    </w:p>
    <w:p w14:paraId="6CA703EF" w14:textId="08D82326"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6</w:t>
      </w:r>
      <w:r>
        <w:rPr>
          <w:i w:val="0"/>
          <w:noProof/>
          <w:color w:val="auto"/>
          <w:kern w:val="2"/>
          <w:sz w:val="24"/>
          <w:szCs w:val="24"/>
          <w:lang w:eastAsia="en-GB"/>
          <w14:ligatures w14:val="standardContextual"/>
        </w:rPr>
        <w:tab/>
      </w:r>
      <w:r>
        <w:rPr>
          <w:noProof/>
        </w:rPr>
        <w:t>Service Operations Overview.</w:t>
      </w:r>
      <w:r>
        <w:rPr>
          <w:noProof/>
        </w:rPr>
        <w:tab/>
      </w:r>
      <w:r>
        <w:rPr>
          <w:noProof/>
        </w:rPr>
        <w:fldChar w:fldCharType="begin"/>
      </w:r>
      <w:r>
        <w:rPr>
          <w:noProof/>
        </w:rPr>
        <w:instrText xml:space="preserve"> PAGEREF _Toc225158440 \h </w:instrText>
      </w:r>
      <w:r>
        <w:rPr>
          <w:noProof/>
        </w:rPr>
      </w:r>
      <w:r>
        <w:rPr>
          <w:noProof/>
        </w:rPr>
        <w:fldChar w:fldCharType="separate"/>
      </w:r>
      <w:r>
        <w:rPr>
          <w:noProof/>
        </w:rPr>
        <w:t>21</w:t>
      </w:r>
      <w:r>
        <w:rPr>
          <w:noProof/>
        </w:rPr>
        <w:fldChar w:fldCharType="end"/>
      </w:r>
    </w:p>
    <w:p w14:paraId="5E4EE6AD" w14:textId="4F682422"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7</w:t>
      </w:r>
      <w:r>
        <w:rPr>
          <w:i w:val="0"/>
          <w:noProof/>
          <w:color w:val="auto"/>
          <w:kern w:val="2"/>
          <w:sz w:val="24"/>
          <w:szCs w:val="24"/>
          <w:lang w:eastAsia="en-GB"/>
          <w14:ligatures w14:val="standardContextual"/>
        </w:rPr>
        <w:tab/>
      </w:r>
      <w:r>
        <w:rPr>
          <w:noProof/>
        </w:rPr>
        <w:t>Consumer (Client) Operations Overview.</w:t>
      </w:r>
      <w:r>
        <w:rPr>
          <w:noProof/>
        </w:rPr>
        <w:tab/>
      </w:r>
      <w:r>
        <w:rPr>
          <w:noProof/>
        </w:rPr>
        <w:fldChar w:fldCharType="begin"/>
      </w:r>
      <w:r>
        <w:rPr>
          <w:noProof/>
        </w:rPr>
        <w:instrText xml:space="preserve"> PAGEREF _Toc225158441 \h </w:instrText>
      </w:r>
      <w:r>
        <w:rPr>
          <w:noProof/>
        </w:rPr>
      </w:r>
      <w:r>
        <w:rPr>
          <w:noProof/>
        </w:rPr>
        <w:fldChar w:fldCharType="separate"/>
      </w:r>
      <w:r>
        <w:rPr>
          <w:noProof/>
        </w:rPr>
        <w:t>21</w:t>
      </w:r>
      <w:r>
        <w:rPr>
          <w:noProof/>
        </w:rPr>
        <w:fldChar w:fldCharType="end"/>
      </w:r>
    </w:p>
    <w:p w14:paraId="13F4689F" w14:textId="33D180F9"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8</w:t>
      </w:r>
      <w:r>
        <w:rPr>
          <w:i w:val="0"/>
          <w:noProof/>
          <w:color w:val="auto"/>
          <w:kern w:val="2"/>
          <w:sz w:val="24"/>
          <w:szCs w:val="24"/>
          <w:lang w:eastAsia="en-GB"/>
          <w14:ligatures w14:val="standardContextual"/>
        </w:rPr>
        <w:tab/>
      </w:r>
      <w:r>
        <w:rPr>
          <w:noProof/>
        </w:rPr>
        <w:t>The Get Operation Parameters.</w:t>
      </w:r>
      <w:r>
        <w:rPr>
          <w:noProof/>
        </w:rPr>
        <w:tab/>
      </w:r>
      <w:r>
        <w:rPr>
          <w:noProof/>
        </w:rPr>
        <w:fldChar w:fldCharType="begin"/>
      </w:r>
      <w:r>
        <w:rPr>
          <w:noProof/>
        </w:rPr>
        <w:instrText xml:space="preserve"> PAGEREF _Toc225158442 \h </w:instrText>
      </w:r>
      <w:r>
        <w:rPr>
          <w:noProof/>
        </w:rPr>
      </w:r>
      <w:r>
        <w:rPr>
          <w:noProof/>
        </w:rPr>
        <w:fldChar w:fldCharType="separate"/>
      </w:r>
      <w:r>
        <w:rPr>
          <w:noProof/>
        </w:rPr>
        <w:t>23</w:t>
      </w:r>
      <w:r>
        <w:rPr>
          <w:noProof/>
        </w:rPr>
        <w:fldChar w:fldCharType="end"/>
      </w:r>
    </w:p>
    <w:p w14:paraId="225E5336" w14:textId="458025D7"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9</w:t>
      </w:r>
      <w:r>
        <w:rPr>
          <w:i w:val="0"/>
          <w:noProof/>
          <w:color w:val="auto"/>
          <w:kern w:val="2"/>
          <w:sz w:val="24"/>
          <w:szCs w:val="24"/>
          <w:lang w:eastAsia="en-GB"/>
          <w14:ligatures w14:val="standardContextual"/>
        </w:rPr>
        <w:tab/>
      </w:r>
      <w:r>
        <w:rPr>
          <w:noProof/>
        </w:rPr>
        <w:t>The Get Summary Operation Parameters.</w:t>
      </w:r>
      <w:r>
        <w:rPr>
          <w:noProof/>
        </w:rPr>
        <w:tab/>
      </w:r>
      <w:r>
        <w:rPr>
          <w:noProof/>
        </w:rPr>
        <w:fldChar w:fldCharType="begin"/>
      </w:r>
      <w:r>
        <w:rPr>
          <w:noProof/>
        </w:rPr>
        <w:instrText xml:space="preserve"> PAGEREF _Toc225158443 \h </w:instrText>
      </w:r>
      <w:r>
        <w:rPr>
          <w:noProof/>
        </w:rPr>
      </w:r>
      <w:r>
        <w:rPr>
          <w:noProof/>
        </w:rPr>
        <w:fldChar w:fldCharType="separate"/>
      </w:r>
      <w:r>
        <w:rPr>
          <w:noProof/>
        </w:rPr>
        <w:t>24</w:t>
      </w:r>
      <w:r>
        <w:rPr>
          <w:noProof/>
        </w:rPr>
        <w:fldChar w:fldCharType="end"/>
      </w:r>
    </w:p>
    <w:p w14:paraId="17AB01FB" w14:textId="71102616"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10</w:t>
      </w:r>
      <w:r>
        <w:rPr>
          <w:i w:val="0"/>
          <w:noProof/>
          <w:color w:val="auto"/>
          <w:kern w:val="2"/>
          <w:sz w:val="24"/>
          <w:szCs w:val="24"/>
          <w:lang w:eastAsia="en-GB"/>
          <w14:ligatures w14:val="standardContextual"/>
        </w:rPr>
        <w:tab/>
      </w:r>
      <w:r>
        <w:rPr>
          <w:noProof/>
        </w:rPr>
        <w:t>The Get Summary Operation Return Types.</w:t>
      </w:r>
      <w:r>
        <w:rPr>
          <w:noProof/>
        </w:rPr>
        <w:tab/>
      </w:r>
      <w:r>
        <w:rPr>
          <w:noProof/>
        </w:rPr>
        <w:fldChar w:fldCharType="begin"/>
      </w:r>
      <w:r>
        <w:rPr>
          <w:noProof/>
        </w:rPr>
        <w:instrText xml:space="preserve"> PAGEREF _Toc225158444 \h </w:instrText>
      </w:r>
      <w:r>
        <w:rPr>
          <w:noProof/>
        </w:rPr>
      </w:r>
      <w:r>
        <w:rPr>
          <w:noProof/>
        </w:rPr>
        <w:fldChar w:fldCharType="separate"/>
      </w:r>
      <w:r>
        <w:rPr>
          <w:noProof/>
        </w:rPr>
        <w:t>25</w:t>
      </w:r>
      <w:r>
        <w:rPr>
          <w:noProof/>
        </w:rPr>
        <w:fldChar w:fldCharType="end"/>
      </w:r>
    </w:p>
    <w:p w14:paraId="1677B8FA" w14:textId="652C571E"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11</w:t>
      </w:r>
      <w:r>
        <w:rPr>
          <w:i w:val="0"/>
          <w:noProof/>
          <w:color w:val="auto"/>
          <w:kern w:val="2"/>
          <w:sz w:val="24"/>
          <w:szCs w:val="24"/>
          <w:lang w:eastAsia="en-GB"/>
          <w14:ligatures w14:val="standardContextual"/>
        </w:rPr>
        <w:tab/>
      </w:r>
      <w:r>
        <w:rPr>
          <w:noProof/>
        </w:rPr>
        <w:t>The Subscription Operation Parameters.</w:t>
      </w:r>
      <w:r>
        <w:rPr>
          <w:noProof/>
        </w:rPr>
        <w:tab/>
      </w:r>
      <w:r>
        <w:rPr>
          <w:noProof/>
        </w:rPr>
        <w:fldChar w:fldCharType="begin"/>
      </w:r>
      <w:r>
        <w:rPr>
          <w:noProof/>
        </w:rPr>
        <w:instrText xml:space="preserve"> PAGEREF _Toc225158445 \h </w:instrText>
      </w:r>
      <w:r>
        <w:rPr>
          <w:noProof/>
        </w:rPr>
      </w:r>
      <w:r>
        <w:rPr>
          <w:noProof/>
        </w:rPr>
        <w:fldChar w:fldCharType="separate"/>
      </w:r>
      <w:r>
        <w:rPr>
          <w:noProof/>
        </w:rPr>
        <w:t>26</w:t>
      </w:r>
      <w:r>
        <w:rPr>
          <w:noProof/>
        </w:rPr>
        <w:fldChar w:fldCharType="end"/>
      </w:r>
    </w:p>
    <w:p w14:paraId="0A000A8B" w14:textId="1D17D737"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12</w:t>
      </w:r>
      <w:r>
        <w:rPr>
          <w:i w:val="0"/>
          <w:noProof/>
          <w:color w:val="auto"/>
          <w:kern w:val="2"/>
          <w:sz w:val="24"/>
          <w:szCs w:val="24"/>
          <w:lang w:eastAsia="en-GB"/>
          <w14:ligatures w14:val="standardContextual"/>
        </w:rPr>
        <w:tab/>
      </w:r>
      <w:r>
        <w:rPr>
          <w:noProof/>
        </w:rPr>
        <w:t>The Subscription Operation Return Types.</w:t>
      </w:r>
      <w:r>
        <w:rPr>
          <w:noProof/>
        </w:rPr>
        <w:tab/>
      </w:r>
      <w:r>
        <w:rPr>
          <w:noProof/>
        </w:rPr>
        <w:fldChar w:fldCharType="begin"/>
      </w:r>
      <w:r>
        <w:rPr>
          <w:noProof/>
        </w:rPr>
        <w:instrText xml:space="preserve"> PAGEREF _Toc225158446 \h </w:instrText>
      </w:r>
      <w:r>
        <w:rPr>
          <w:noProof/>
        </w:rPr>
      </w:r>
      <w:r>
        <w:rPr>
          <w:noProof/>
        </w:rPr>
        <w:fldChar w:fldCharType="separate"/>
      </w:r>
      <w:r>
        <w:rPr>
          <w:noProof/>
        </w:rPr>
        <w:t>26</w:t>
      </w:r>
      <w:r>
        <w:rPr>
          <w:noProof/>
        </w:rPr>
        <w:fldChar w:fldCharType="end"/>
      </w:r>
    </w:p>
    <w:p w14:paraId="3EA1210E" w14:textId="6BF7C7E0"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13</w:t>
      </w:r>
      <w:r>
        <w:rPr>
          <w:i w:val="0"/>
          <w:noProof/>
          <w:color w:val="auto"/>
          <w:kern w:val="2"/>
          <w:sz w:val="24"/>
          <w:szCs w:val="24"/>
          <w:lang w:eastAsia="en-GB"/>
          <w14:ligatures w14:val="standardContextual"/>
        </w:rPr>
        <w:tab/>
      </w:r>
      <w:r>
        <w:rPr>
          <w:noProof/>
        </w:rPr>
        <w:t>The Remove Subscription Operation Parameters.</w:t>
      </w:r>
      <w:r>
        <w:rPr>
          <w:noProof/>
        </w:rPr>
        <w:tab/>
      </w:r>
      <w:r>
        <w:rPr>
          <w:noProof/>
        </w:rPr>
        <w:fldChar w:fldCharType="begin"/>
      </w:r>
      <w:r>
        <w:rPr>
          <w:noProof/>
        </w:rPr>
        <w:instrText xml:space="preserve"> PAGEREF _Toc225158447 \h </w:instrText>
      </w:r>
      <w:r>
        <w:rPr>
          <w:noProof/>
        </w:rPr>
      </w:r>
      <w:r>
        <w:rPr>
          <w:noProof/>
        </w:rPr>
        <w:fldChar w:fldCharType="separate"/>
      </w:r>
      <w:r>
        <w:rPr>
          <w:noProof/>
        </w:rPr>
        <w:t>27</w:t>
      </w:r>
      <w:r>
        <w:rPr>
          <w:noProof/>
        </w:rPr>
        <w:fldChar w:fldCharType="end"/>
      </w:r>
    </w:p>
    <w:p w14:paraId="467DF685" w14:textId="0E580A8E"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14</w:t>
      </w:r>
      <w:r>
        <w:rPr>
          <w:i w:val="0"/>
          <w:noProof/>
          <w:color w:val="auto"/>
          <w:kern w:val="2"/>
          <w:sz w:val="24"/>
          <w:szCs w:val="24"/>
          <w:lang w:eastAsia="en-GB"/>
          <w14:ligatures w14:val="standardContextual"/>
        </w:rPr>
        <w:tab/>
      </w:r>
      <w:r>
        <w:rPr>
          <w:noProof/>
        </w:rPr>
        <w:t>The Remove Subscription Operation Return Types.</w:t>
      </w:r>
      <w:r>
        <w:rPr>
          <w:noProof/>
        </w:rPr>
        <w:tab/>
      </w:r>
      <w:r>
        <w:rPr>
          <w:noProof/>
        </w:rPr>
        <w:fldChar w:fldCharType="begin"/>
      </w:r>
      <w:r>
        <w:rPr>
          <w:noProof/>
        </w:rPr>
        <w:instrText xml:space="preserve"> PAGEREF _Toc225158448 \h </w:instrText>
      </w:r>
      <w:r>
        <w:rPr>
          <w:noProof/>
        </w:rPr>
      </w:r>
      <w:r>
        <w:rPr>
          <w:noProof/>
        </w:rPr>
        <w:fldChar w:fldCharType="separate"/>
      </w:r>
      <w:r>
        <w:rPr>
          <w:noProof/>
        </w:rPr>
        <w:t>27</w:t>
      </w:r>
      <w:r>
        <w:rPr>
          <w:noProof/>
        </w:rPr>
        <w:fldChar w:fldCharType="end"/>
      </w:r>
    </w:p>
    <w:p w14:paraId="69671D63" w14:textId="39E363B8"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15</w:t>
      </w:r>
      <w:r>
        <w:rPr>
          <w:i w:val="0"/>
          <w:noProof/>
          <w:color w:val="auto"/>
          <w:kern w:val="2"/>
          <w:sz w:val="24"/>
          <w:szCs w:val="24"/>
          <w:lang w:eastAsia="en-GB"/>
          <w14:ligatures w14:val="standardContextual"/>
        </w:rPr>
        <w:tab/>
      </w:r>
      <w:r>
        <w:rPr>
          <w:noProof/>
        </w:rPr>
        <w:t>The Upload Operation Parameters.</w:t>
      </w:r>
      <w:r>
        <w:rPr>
          <w:noProof/>
        </w:rPr>
        <w:tab/>
      </w:r>
      <w:r>
        <w:rPr>
          <w:noProof/>
        </w:rPr>
        <w:fldChar w:fldCharType="begin"/>
      </w:r>
      <w:r>
        <w:rPr>
          <w:noProof/>
        </w:rPr>
        <w:instrText xml:space="preserve"> PAGEREF _Toc225158449 \h </w:instrText>
      </w:r>
      <w:r>
        <w:rPr>
          <w:noProof/>
        </w:rPr>
      </w:r>
      <w:r>
        <w:rPr>
          <w:noProof/>
        </w:rPr>
        <w:fldChar w:fldCharType="separate"/>
      </w:r>
      <w:r>
        <w:rPr>
          <w:noProof/>
        </w:rPr>
        <w:t>29</w:t>
      </w:r>
      <w:r>
        <w:rPr>
          <w:noProof/>
        </w:rPr>
        <w:fldChar w:fldCharType="end"/>
      </w:r>
    </w:p>
    <w:p w14:paraId="33DF4D56" w14:textId="279DF7D8"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16</w:t>
      </w:r>
      <w:r>
        <w:rPr>
          <w:i w:val="0"/>
          <w:noProof/>
          <w:color w:val="auto"/>
          <w:kern w:val="2"/>
          <w:sz w:val="24"/>
          <w:szCs w:val="24"/>
          <w:lang w:eastAsia="en-GB"/>
          <w14:ligatures w14:val="standardContextual"/>
        </w:rPr>
        <w:tab/>
      </w:r>
      <w:r>
        <w:rPr>
          <w:noProof/>
        </w:rPr>
        <w:t>The Upload Operation Return Types.</w:t>
      </w:r>
      <w:r>
        <w:rPr>
          <w:noProof/>
        </w:rPr>
        <w:tab/>
      </w:r>
      <w:r>
        <w:rPr>
          <w:noProof/>
        </w:rPr>
        <w:fldChar w:fldCharType="begin"/>
      </w:r>
      <w:r>
        <w:rPr>
          <w:noProof/>
        </w:rPr>
        <w:instrText xml:space="preserve"> PAGEREF _Toc225158450 \h </w:instrText>
      </w:r>
      <w:r>
        <w:rPr>
          <w:noProof/>
        </w:rPr>
      </w:r>
      <w:r>
        <w:rPr>
          <w:noProof/>
        </w:rPr>
        <w:fldChar w:fldCharType="separate"/>
      </w:r>
      <w:r>
        <w:rPr>
          <w:noProof/>
        </w:rPr>
        <w:t>29</w:t>
      </w:r>
      <w:r>
        <w:rPr>
          <w:noProof/>
        </w:rPr>
        <w:fldChar w:fldCharType="end"/>
      </w:r>
    </w:p>
    <w:p w14:paraId="18A6A513" w14:textId="33CD9428"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17</w:t>
      </w:r>
      <w:r>
        <w:rPr>
          <w:i w:val="0"/>
          <w:noProof/>
          <w:color w:val="auto"/>
          <w:kern w:val="2"/>
          <w:sz w:val="24"/>
          <w:szCs w:val="24"/>
          <w:lang w:eastAsia="en-GB"/>
          <w14:ligatures w14:val="standardContextual"/>
        </w:rPr>
        <w:tab/>
      </w:r>
      <w:r>
        <w:rPr>
          <w:noProof/>
        </w:rPr>
        <w:t>The Subscription Notification Operation Parameters.</w:t>
      </w:r>
      <w:r>
        <w:rPr>
          <w:noProof/>
        </w:rPr>
        <w:tab/>
      </w:r>
      <w:r>
        <w:rPr>
          <w:noProof/>
        </w:rPr>
        <w:fldChar w:fldCharType="begin"/>
      </w:r>
      <w:r>
        <w:rPr>
          <w:noProof/>
        </w:rPr>
        <w:instrText xml:space="preserve"> PAGEREF _Toc225158451 \h </w:instrText>
      </w:r>
      <w:r>
        <w:rPr>
          <w:noProof/>
        </w:rPr>
      </w:r>
      <w:r>
        <w:rPr>
          <w:noProof/>
        </w:rPr>
        <w:fldChar w:fldCharType="separate"/>
      </w:r>
      <w:r>
        <w:rPr>
          <w:noProof/>
        </w:rPr>
        <w:t>30</w:t>
      </w:r>
      <w:r>
        <w:rPr>
          <w:noProof/>
        </w:rPr>
        <w:fldChar w:fldCharType="end"/>
      </w:r>
    </w:p>
    <w:p w14:paraId="4C1792A8" w14:textId="1B7CFC84"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18</w:t>
      </w:r>
      <w:r>
        <w:rPr>
          <w:i w:val="0"/>
          <w:noProof/>
          <w:color w:val="auto"/>
          <w:kern w:val="2"/>
          <w:sz w:val="24"/>
          <w:szCs w:val="24"/>
          <w:lang w:eastAsia="en-GB"/>
          <w14:ligatures w14:val="standardContextual"/>
        </w:rPr>
        <w:tab/>
      </w:r>
      <w:r>
        <w:rPr>
          <w:noProof/>
        </w:rPr>
        <w:t>The Subscription Notification Operation Return Types.</w:t>
      </w:r>
      <w:r>
        <w:rPr>
          <w:noProof/>
        </w:rPr>
        <w:tab/>
      </w:r>
      <w:r>
        <w:rPr>
          <w:noProof/>
        </w:rPr>
        <w:fldChar w:fldCharType="begin"/>
      </w:r>
      <w:r>
        <w:rPr>
          <w:noProof/>
        </w:rPr>
        <w:instrText xml:space="preserve"> PAGEREF _Toc225158452 \h </w:instrText>
      </w:r>
      <w:r>
        <w:rPr>
          <w:noProof/>
        </w:rPr>
      </w:r>
      <w:r>
        <w:rPr>
          <w:noProof/>
        </w:rPr>
        <w:fldChar w:fldCharType="separate"/>
      </w:r>
      <w:r>
        <w:rPr>
          <w:noProof/>
        </w:rPr>
        <w:t>30</w:t>
      </w:r>
      <w:r>
        <w:rPr>
          <w:noProof/>
        </w:rPr>
        <w:fldChar w:fldCharType="end"/>
      </w:r>
    </w:p>
    <w:p w14:paraId="3F621F2F" w14:textId="26E6DDCF"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19</w:t>
      </w:r>
      <w:r>
        <w:rPr>
          <w:i w:val="0"/>
          <w:noProof/>
          <w:color w:val="auto"/>
          <w:kern w:val="2"/>
          <w:sz w:val="24"/>
          <w:szCs w:val="24"/>
          <w:lang w:eastAsia="en-GB"/>
          <w14:ligatures w14:val="standardContextual"/>
        </w:rPr>
        <w:tab/>
      </w:r>
      <w:r>
        <w:rPr>
          <w:noProof/>
        </w:rPr>
        <w:t>List of Acronyms</w:t>
      </w:r>
      <w:r>
        <w:rPr>
          <w:noProof/>
        </w:rPr>
        <w:tab/>
      </w:r>
      <w:r>
        <w:rPr>
          <w:noProof/>
        </w:rPr>
        <w:fldChar w:fldCharType="begin"/>
      </w:r>
      <w:r>
        <w:rPr>
          <w:noProof/>
        </w:rPr>
        <w:instrText xml:space="preserve"> PAGEREF _Toc225158453 \h </w:instrText>
      </w:r>
      <w:r>
        <w:rPr>
          <w:noProof/>
        </w:rPr>
      </w:r>
      <w:r>
        <w:rPr>
          <w:noProof/>
        </w:rPr>
        <w:fldChar w:fldCharType="separate"/>
      </w:r>
      <w:r>
        <w:rPr>
          <w:noProof/>
        </w:rPr>
        <w:t>36</w:t>
      </w:r>
      <w:r>
        <w:rPr>
          <w:noProof/>
        </w:rPr>
        <w:fldChar w:fldCharType="end"/>
      </w:r>
    </w:p>
    <w:p w14:paraId="325313FC" w14:textId="5868C8A3" w:rsidR="002C6C70" w:rsidRDefault="002C6C70">
      <w:pPr>
        <w:pStyle w:val="TableofFigures"/>
        <w:rPr>
          <w:i w:val="0"/>
          <w:noProof/>
          <w:color w:val="auto"/>
          <w:kern w:val="2"/>
          <w:sz w:val="24"/>
          <w:szCs w:val="24"/>
          <w:lang w:eastAsia="en-GB"/>
          <w14:ligatures w14:val="standardContextual"/>
        </w:rPr>
      </w:pPr>
      <w:r w:rsidRPr="00460A8C">
        <w:rPr>
          <w:rFonts w:ascii="Calibri" w:hAnsi="Calibri"/>
          <w:noProof/>
        </w:rPr>
        <w:t>Table 20</w:t>
      </w:r>
      <w:r>
        <w:rPr>
          <w:i w:val="0"/>
          <w:noProof/>
          <w:color w:val="auto"/>
          <w:kern w:val="2"/>
          <w:sz w:val="24"/>
          <w:szCs w:val="24"/>
          <w:lang w:eastAsia="en-GB"/>
          <w14:ligatures w14:val="standardContextual"/>
        </w:rPr>
        <w:tab/>
      </w:r>
      <w:r>
        <w:rPr>
          <w:noProof/>
        </w:rPr>
        <w:t>List of Terms</w:t>
      </w:r>
      <w:r>
        <w:rPr>
          <w:noProof/>
        </w:rPr>
        <w:tab/>
      </w:r>
      <w:r>
        <w:rPr>
          <w:noProof/>
        </w:rPr>
        <w:fldChar w:fldCharType="begin"/>
      </w:r>
      <w:r>
        <w:rPr>
          <w:noProof/>
        </w:rPr>
        <w:instrText xml:space="preserve"> PAGEREF _Toc225158454 \h </w:instrText>
      </w:r>
      <w:r>
        <w:rPr>
          <w:noProof/>
        </w:rPr>
      </w:r>
      <w:r>
        <w:rPr>
          <w:noProof/>
        </w:rPr>
        <w:fldChar w:fldCharType="separate"/>
      </w:r>
      <w:r>
        <w:rPr>
          <w:noProof/>
        </w:rPr>
        <w:t>36</w:t>
      </w:r>
      <w:r>
        <w:rPr>
          <w:noProof/>
        </w:rPr>
        <w:fldChar w:fldCharType="end"/>
      </w:r>
    </w:p>
    <w:p w14:paraId="346A5011" w14:textId="38327015" w:rsidR="00066EC8" w:rsidRDefault="00000000">
      <w:pPr>
        <w:pStyle w:val="BodyText"/>
      </w:pPr>
      <w:r>
        <w:rPr>
          <w:i/>
          <w:color w:val="00558C"/>
        </w:rPr>
        <w:fldChar w:fldCharType="end"/>
      </w:r>
    </w:p>
    <w:p w14:paraId="6D8E7530" w14:textId="77777777" w:rsidR="00066EC8" w:rsidRDefault="00000000">
      <w:pPr>
        <w:pStyle w:val="ListofFigures"/>
      </w:pPr>
      <w:r>
        <w:t>List of Figures</w:t>
      </w:r>
    </w:p>
    <w:p w14:paraId="5B2F7763" w14:textId="785693C0" w:rsidR="002C6C70" w:rsidRDefault="00000000">
      <w:pPr>
        <w:pStyle w:val="TableofFigures"/>
        <w:rPr>
          <w:i w:val="0"/>
          <w:noProof/>
          <w:color w:val="auto"/>
          <w:kern w:val="2"/>
          <w:sz w:val="24"/>
          <w:szCs w:val="24"/>
          <w:lang w:eastAsia="en-GB"/>
          <w14:ligatures w14:val="standardContextual"/>
        </w:rPr>
      </w:pPr>
      <w:r>
        <w:fldChar w:fldCharType="begin"/>
      </w:r>
      <w:r>
        <w:instrText xml:space="preserve"> TOC \t "Image Caption" \c </w:instrText>
      </w:r>
      <w:r>
        <w:fldChar w:fldCharType="separate"/>
      </w:r>
      <w:r w:rsidR="002C6C70">
        <w:rPr>
          <w:noProof/>
        </w:rPr>
        <w:t>Figure 1</w:t>
      </w:r>
      <w:r w:rsidR="002C6C70">
        <w:rPr>
          <w:i w:val="0"/>
          <w:noProof/>
          <w:color w:val="auto"/>
          <w:kern w:val="2"/>
          <w:sz w:val="24"/>
          <w:szCs w:val="24"/>
          <w:lang w:eastAsia="en-GB"/>
          <w14:ligatures w14:val="standardContextual"/>
        </w:rPr>
        <w:tab/>
      </w:r>
      <w:r w:rsidR="002C6C70">
        <w:rPr>
          <w:noProof/>
        </w:rPr>
        <w:t>Pre S-125 “Present Day” Operational Context.</w:t>
      </w:r>
      <w:r w:rsidR="002C6C70">
        <w:rPr>
          <w:noProof/>
        </w:rPr>
        <w:tab/>
      </w:r>
      <w:r w:rsidR="002C6C70">
        <w:rPr>
          <w:noProof/>
        </w:rPr>
        <w:fldChar w:fldCharType="begin"/>
      </w:r>
      <w:r w:rsidR="002C6C70">
        <w:rPr>
          <w:noProof/>
        </w:rPr>
        <w:instrText xml:space="preserve"> PAGEREF _Toc225158543 \h </w:instrText>
      </w:r>
      <w:r w:rsidR="002C6C70">
        <w:rPr>
          <w:noProof/>
        </w:rPr>
      </w:r>
      <w:r w:rsidR="002C6C70">
        <w:rPr>
          <w:noProof/>
        </w:rPr>
        <w:fldChar w:fldCharType="separate"/>
      </w:r>
      <w:r w:rsidR="002C6C70">
        <w:rPr>
          <w:noProof/>
        </w:rPr>
        <w:t>9</w:t>
      </w:r>
      <w:r w:rsidR="002C6C70">
        <w:rPr>
          <w:noProof/>
        </w:rPr>
        <w:fldChar w:fldCharType="end"/>
      </w:r>
    </w:p>
    <w:p w14:paraId="470404CE" w14:textId="3EBACE38" w:rsidR="002C6C70" w:rsidRDefault="002C6C70">
      <w:pPr>
        <w:pStyle w:val="TableofFigures"/>
        <w:rPr>
          <w:i w:val="0"/>
          <w:noProof/>
          <w:color w:val="auto"/>
          <w:kern w:val="2"/>
          <w:sz w:val="24"/>
          <w:szCs w:val="24"/>
          <w:lang w:eastAsia="en-GB"/>
          <w14:ligatures w14:val="standardContextual"/>
        </w:rPr>
      </w:pPr>
      <w:r>
        <w:rPr>
          <w:noProof/>
        </w:rPr>
        <w:t>Figure 2</w:t>
      </w:r>
      <w:r>
        <w:rPr>
          <w:i w:val="0"/>
          <w:noProof/>
          <w:color w:val="auto"/>
          <w:kern w:val="2"/>
          <w:sz w:val="24"/>
          <w:szCs w:val="24"/>
          <w:lang w:eastAsia="en-GB"/>
          <w14:ligatures w14:val="standardContextual"/>
        </w:rPr>
        <w:tab/>
      </w:r>
      <w:r>
        <w:rPr>
          <w:noProof/>
        </w:rPr>
        <w:t>Envisioned S-125 Operational Context</w:t>
      </w:r>
      <w:r>
        <w:rPr>
          <w:noProof/>
        </w:rPr>
        <w:tab/>
      </w:r>
      <w:r>
        <w:rPr>
          <w:noProof/>
        </w:rPr>
        <w:fldChar w:fldCharType="begin"/>
      </w:r>
      <w:r>
        <w:rPr>
          <w:noProof/>
        </w:rPr>
        <w:instrText xml:space="preserve"> PAGEREF _Toc225158544 \h </w:instrText>
      </w:r>
      <w:r>
        <w:rPr>
          <w:noProof/>
        </w:rPr>
      </w:r>
      <w:r>
        <w:rPr>
          <w:noProof/>
        </w:rPr>
        <w:fldChar w:fldCharType="separate"/>
      </w:r>
      <w:r>
        <w:rPr>
          <w:noProof/>
        </w:rPr>
        <w:t>10</w:t>
      </w:r>
      <w:r>
        <w:rPr>
          <w:noProof/>
        </w:rPr>
        <w:fldChar w:fldCharType="end"/>
      </w:r>
    </w:p>
    <w:p w14:paraId="003925A3" w14:textId="76E9336C" w:rsidR="002C6C70" w:rsidRDefault="002C6C70">
      <w:pPr>
        <w:pStyle w:val="TableofFigures"/>
        <w:rPr>
          <w:i w:val="0"/>
          <w:noProof/>
          <w:color w:val="auto"/>
          <w:kern w:val="2"/>
          <w:sz w:val="24"/>
          <w:szCs w:val="24"/>
          <w:lang w:eastAsia="en-GB"/>
          <w14:ligatures w14:val="standardContextual"/>
        </w:rPr>
      </w:pPr>
      <w:r>
        <w:rPr>
          <w:noProof/>
        </w:rPr>
        <w:t>Figure 3</w:t>
      </w:r>
      <w:r>
        <w:rPr>
          <w:i w:val="0"/>
          <w:noProof/>
          <w:color w:val="auto"/>
          <w:kern w:val="2"/>
          <w:sz w:val="24"/>
          <w:szCs w:val="24"/>
          <w:lang w:eastAsia="en-GB"/>
          <w14:ligatures w14:val="standardContextual"/>
        </w:rPr>
        <w:tab/>
      </w:r>
      <w:r>
        <w:rPr>
          <w:noProof/>
        </w:rPr>
        <w:t>Example of the AtoN information flow, as per [2].</w:t>
      </w:r>
      <w:r>
        <w:rPr>
          <w:noProof/>
        </w:rPr>
        <w:tab/>
      </w:r>
      <w:r>
        <w:rPr>
          <w:noProof/>
        </w:rPr>
        <w:fldChar w:fldCharType="begin"/>
      </w:r>
      <w:r>
        <w:rPr>
          <w:noProof/>
        </w:rPr>
        <w:instrText xml:space="preserve"> PAGEREF _Toc225158545 \h </w:instrText>
      </w:r>
      <w:r>
        <w:rPr>
          <w:noProof/>
        </w:rPr>
      </w:r>
      <w:r>
        <w:rPr>
          <w:noProof/>
        </w:rPr>
        <w:fldChar w:fldCharType="separate"/>
      </w:r>
      <w:r>
        <w:rPr>
          <w:noProof/>
        </w:rPr>
        <w:t>11</w:t>
      </w:r>
      <w:r>
        <w:rPr>
          <w:noProof/>
        </w:rPr>
        <w:fldChar w:fldCharType="end"/>
      </w:r>
    </w:p>
    <w:p w14:paraId="2B6586AD" w14:textId="5E019D67" w:rsidR="002C6C70" w:rsidRDefault="002C6C70">
      <w:pPr>
        <w:pStyle w:val="TableofFigures"/>
        <w:rPr>
          <w:i w:val="0"/>
          <w:noProof/>
          <w:color w:val="auto"/>
          <w:kern w:val="2"/>
          <w:sz w:val="24"/>
          <w:szCs w:val="24"/>
          <w:lang w:eastAsia="en-GB"/>
          <w14:ligatures w14:val="standardContextual"/>
        </w:rPr>
      </w:pPr>
      <w:r>
        <w:rPr>
          <w:noProof/>
        </w:rPr>
        <w:t>Figure 4</w:t>
      </w:r>
      <w:r>
        <w:rPr>
          <w:i w:val="0"/>
          <w:noProof/>
          <w:color w:val="auto"/>
          <w:kern w:val="2"/>
          <w:sz w:val="24"/>
          <w:szCs w:val="24"/>
          <w:lang w:eastAsia="en-GB"/>
          <w14:ligatures w14:val="standardContextual"/>
        </w:rPr>
        <w:tab/>
      </w:r>
      <w:r>
        <w:rPr>
          <w:noProof/>
        </w:rPr>
        <w:t>S-125 Service Operations Definition diagram.</w:t>
      </w:r>
      <w:r>
        <w:rPr>
          <w:noProof/>
        </w:rPr>
        <w:tab/>
      </w:r>
      <w:r>
        <w:rPr>
          <w:noProof/>
        </w:rPr>
        <w:fldChar w:fldCharType="begin"/>
      </w:r>
      <w:r>
        <w:rPr>
          <w:noProof/>
        </w:rPr>
        <w:instrText xml:space="preserve"> PAGEREF _Toc225158546 \h </w:instrText>
      </w:r>
      <w:r>
        <w:rPr>
          <w:noProof/>
        </w:rPr>
      </w:r>
      <w:r>
        <w:rPr>
          <w:noProof/>
        </w:rPr>
        <w:fldChar w:fldCharType="separate"/>
      </w:r>
      <w:r>
        <w:rPr>
          <w:noProof/>
        </w:rPr>
        <w:t>21</w:t>
      </w:r>
      <w:r>
        <w:rPr>
          <w:noProof/>
        </w:rPr>
        <w:fldChar w:fldCharType="end"/>
      </w:r>
    </w:p>
    <w:p w14:paraId="70EC77FB" w14:textId="4B68F3C0" w:rsidR="002C6C70" w:rsidRDefault="002C6C70">
      <w:pPr>
        <w:pStyle w:val="TableofFigures"/>
        <w:rPr>
          <w:i w:val="0"/>
          <w:noProof/>
          <w:color w:val="auto"/>
          <w:kern w:val="2"/>
          <w:sz w:val="24"/>
          <w:szCs w:val="24"/>
          <w:lang w:eastAsia="en-GB"/>
          <w14:ligatures w14:val="standardContextual"/>
        </w:rPr>
      </w:pPr>
      <w:r>
        <w:rPr>
          <w:noProof/>
        </w:rPr>
        <w:t>Figure 5</w:t>
      </w:r>
      <w:r>
        <w:rPr>
          <w:i w:val="0"/>
          <w:noProof/>
          <w:color w:val="auto"/>
          <w:kern w:val="2"/>
          <w:sz w:val="24"/>
          <w:szCs w:val="24"/>
          <w:lang w:eastAsia="en-GB"/>
          <w14:ligatures w14:val="standardContextual"/>
        </w:rPr>
        <w:tab/>
      </w:r>
      <w:r>
        <w:rPr>
          <w:noProof/>
        </w:rPr>
        <w:t>Get operation.</w:t>
      </w:r>
      <w:r>
        <w:rPr>
          <w:noProof/>
        </w:rPr>
        <w:tab/>
      </w:r>
      <w:r>
        <w:rPr>
          <w:noProof/>
        </w:rPr>
        <w:fldChar w:fldCharType="begin"/>
      </w:r>
      <w:r>
        <w:rPr>
          <w:noProof/>
        </w:rPr>
        <w:instrText xml:space="preserve"> PAGEREF _Toc225158547 \h </w:instrText>
      </w:r>
      <w:r>
        <w:rPr>
          <w:noProof/>
        </w:rPr>
      </w:r>
      <w:r>
        <w:rPr>
          <w:noProof/>
        </w:rPr>
        <w:fldChar w:fldCharType="separate"/>
      </w:r>
      <w:r>
        <w:rPr>
          <w:noProof/>
        </w:rPr>
        <w:t>23</w:t>
      </w:r>
      <w:r>
        <w:rPr>
          <w:noProof/>
        </w:rPr>
        <w:fldChar w:fldCharType="end"/>
      </w:r>
    </w:p>
    <w:p w14:paraId="3AC3DE4E" w14:textId="254AF949" w:rsidR="002C6C70" w:rsidRDefault="002C6C70">
      <w:pPr>
        <w:pStyle w:val="TableofFigures"/>
        <w:rPr>
          <w:i w:val="0"/>
          <w:noProof/>
          <w:color w:val="auto"/>
          <w:kern w:val="2"/>
          <w:sz w:val="24"/>
          <w:szCs w:val="24"/>
          <w:lang w:eastAsia="en-GB"/>
          <w14:ligatures w14:val="standardContextual"/>
        </w:rPr>
      </w:pPr>
      <w:r>
        <w:rPr>
          <w:noProof/>
        </w:rPr>
        <w:t>Figure 6</w:t>
      </w:r>
      <w:r>
        <w:rPr>
          <w:i w:val="0"/>
          <w:noProof/>
          <w:color w:val="auto"/>
          <w:kern w:val="2"/>
          <w:sz w:val="24"/>
          <w:szCs w:val="24"/>
          <w:lang w:eastAsia="en-GB"/>
          <w14:ligatures w14:val="standardContextual"/>
        </w:rPr>
        <w:tab/>
      </w:r>
      <w:r>
        <w:rPr>
          <w:noProof/>
        </w:rPr>
        <w:t>Get Summary operation.</w:t>
      </w:r>
      <w:r>
        <w:rPr>
          <w:noProof/>
        </w:rPr>
        <w:tab/>
      </w:r>
      <w:r>
        <w:rPr>
          <w:noProof/>
        </w:rPr>
        <w:fldChar w:fldCharType="begin"/>
      </w:r>
      <w:r>
        <w:rPr>
          <w:noProof/>
        </w:rPr>
        <w:instrText xml:space="preserve"> PAGEREF _Toc225158548 \h </w:instrText>
      </w:r>
      <w:r>
        <w:rPr>
          <w:noProof/>
        </w:rPr>
      </w:r>
      <w:r>
        <w:rPr>
          <w:noProof/>
        </w:rPr>
        <w:fldChar w:fldCharType="separate"/>
      </w:r>
      <w:r>
        <w:rPr>
          <w:noProof/>
        </w:rPr>
        <w:t>25</w:t>
      </w:r>
      <w:r>
        <w:rPr>
          <w:noProof/>
        </w:rPr>
        <w:fldChar w:fldCharType="end"/>
      </w:r>
    </w:p>
    <w:p w14:paraId="07343593" w14:textId="63453FE7" w:rsidR="002C6C70" w:rsidRDefault="002C6C70">
      <w:pPr>
        <w:pStyle w:val="TableofFigures"/>
        <w:rPr>
          <w:i w:val="0"/>
          <w:noProof/>
          <w:color w:val="auto"/>
          <w:kern w:val="2"/>
          <w:sz w:val="24"/>
          <w:szCs w:val="24"/>
          <w:lang w:eastAsia="en-GB"/>
          <w14:ligatures w14:val="standardContextual"/>
        </w:rPr>
      </w:pPr>
      <w:r>
        <w:rPr>
          <w:noProof/>
        </w:rPr>
        <w:t>Figure 7</w:t>
      </w:r>
      <w:r>
        <w:rPr>
          <w:i w:val="0"/>
          <w:noProof/>
          <w:color w:val="auto"/>
          <w:kern w:val="2"/>
          <w:sz w:val="24"/>
          <w:szCs w:val="24"/>
          <w:lang w:eastAsia="en-GB"/>
          <w14:ligatures w14:val="standardContextual"/>
        </w:rPr>
        <w:tab/>
      </w:r>
      <w:r>
        <w:rPr>
          <w:noProof/>
        </w:rPr>
        <w:t>Subscription operation.</w:t>
      </w:r>
      <w:r>
        <w:rPr>
          <w:noProof/>
        </w:rPr>
        <w:tab/>
      </w:r>
      <w:r>
        <w:rPr>
          <w:noProof/>
        </w:rPr>
        <w:fldChar w:fldCharType="begin"/>
      </w:r>
      <w:r>
        <w:rPr>
          <w:noProof/>
        </w:rPr>
        <w:instrText xml:space="preserve"> PAGEREF _Toc225158549 \h </w:instrText>
      </w:r>
      <w:r>
        <w:rPr>
          <w:noProof/>
        </w:rPr>
      </w:r>
      <w:r>
        <w:rPr>
          <w:noProof/>
        </w:rPr>
        <w:fldChar w:fldCharType="separate"/>
      </w:r>
      <w:r>
        <w:rPr>
          <w:noProof/>
        </w:rPr>
        <w:t>26</w:t>
      </w:r>
      <w:r>
        <w:rPr>
          <w:noProof/>
        </w:rPr>
        <w:fldChar w:fldCharType="end"/>
      </w:r>
    </w:p>
    <w:p w14:paraId="78F7F6B4" w14:textId="1BC7F590" w:rsidR="002C6C70" w:rsidRDefault="002C6C70">
      <w:pPr>
        <w:pStyle w:val="TableofFigures"/>
        <w:rPr>
          <w:i w:val="0"/>
          <w:noProof/>
          <w:color w:val="auto"/>
          <w:kern w:val="2"/>
          <w:sz w:val="24"/>
          <w:szCs w:val="24"/>
          <w:lang w:eastAsia="en-GB"/>
          <w14:ligatures w14:val="standardContextual"/>
        </w:rPr>
      </w:pPr>
      <w:r>
        <w:rPr>
          <w:noProof/>
        </w:rPr>
        <w:lastRenderedPageBreak/>
        <w:t>Figure 8</w:t>
      </w:r>
      <w:r>
        <w:rPr>
          <w:i w:val="0"/>
          <w:noProof/>
          <w:color w:val="auto"/>
          <w:kern w:val="2"/>
          <w:sz w:val="24"/>
          <w:szCs w:val="24"/>
          <w:lang w:eastAsia="en-GB"/>
          <w14:ligatures w14:val="standardContextual"/>
        </w:rPr>
        <w:tab/>
      </w:r>
      <w:r>
        <w:rPr>
          <w:noProof/>
        </w:rPr>
        <w:t>Remove Subscription operation.</w:t>
      </w:r>
      <w:r>
        <w:rPr>
          <w:noProof/>
        </w:rPr>
        <w:tab/>
      </w:r>
      <w:r>
        <w:rPr>
          <w:noProof/>
        </w:rPr>
        <w:fldChar w:fldCharType="begin"/>
      </w:r>
      <w:r>
        <w:rPr>
          <w:noProof/>
        </w:rPr>
        <w:instrText xml:space="preserve"> PAGEREF _Toc225158550 \h </w:instrText>
      </w:r>
      <w:r>
        <w:rPr>
          <w:noProof/>
        </w:rPr>
      </w:r>
      <w:r>
        <w:rPr>
          <w:noProof/>
        </w:rPr>
        <w:fldChar w:fldCharType="separate"/>
      </w:r>
      <w:r>
        <w:rPr>
          <w:noProof/>
        </w:rPr>
        <w:t>28</w:t>
      </w:r>
      <w:r>
        <w:rPr>
          <w:noProof/>
        </w:rPr>
        <w:fldChar w:fldCharType="end"/>
      </w:r>
    </w:p>
    <w:p w14:paraId="5BC06155" w14:textId="4796443A" w:rsidR="002C6C70" w:rsidRDefault="002C6C70">
      <w:pPr>
        <w:pStyle w:val="TableofFigures"/>
        <w:rPr>
          <w:i w:val="0"/>
          <w:noProof/>
          <w:color w:val="auto"/>
          <w:kern w:val="2"/>
          <w:sz w:val="24"/>
          <w:szCs w:val="24"/>
          <w:lang w:eastAsia="en-GB"/>
          <w14:ligatures w14:val="standardContextual"/>
        </w:rPr>
      </w:pPr>
      <w:r>
        <w:rPr>
          <w:noProof/>
        </w:rPr>
        <w:t>Figure 9</w:t>
      </w:r>
      <w:r>
        <w:rPr>
          <w:i w:val="0"/>
          <w:noProof/>
          <w:color w:val="auto"/>
          <w:kern w:val="2"/>
          <w:sz w:val="24"/>
          <w:szCs w:val="24"/>
          <w:lang w:eastAsia="en-GB"/>
          <w14:ligatures w14:val="standardContextual"/>
        </w:rPr>
        <w:tab/>
      </w:r>
      <w:r>
        <w:rPr>
          <w:noProof/>
        </w:rPr>
        <w:t>Upload operation.</w:t>
      </w:r>
      <w:r>
        <w:rPr>
          <w:noProof/>
        </w:rPr>
        <w:tab/>
      </w:r>
      <w:r>
        <w:rPr>
          <w:noProof/>
        </w:rPr>
        <w:fldChar w:fldCharType="begin"/>
      </w:r>
      <w:r>
        <w:rPr>
          <w:noProof/>
        </w:rPr>
        <w:instrText xml:space="preserve"> PAGEREF _Toc225158551 \h </w:instrText>
      </w:r>
      <w:r>
        <w:rPr>
          <w:noProof/>
        </w:rPr>
      </w:r>
      <w:r>
        <w:rPr>
          <w:noProof/>
        </w:rPr>
        <w:fldChar w:fldCharType="separate"/>
      </w:r>
      <w:r>
        <w:rPr>
          <w:noProof/>
        </w:rPr>
        <w:t>29</w:t>
      </w:r>
      <w:r>
        <w:rPr>
          <w:noProof/>
        </w:rPr>
        <w:fldChar w:fldCharType="end"/>
      </w:r>
    </w:p>
    <w:p w14:paraId="7E62E326" w14:textId="0751EF70" w:rsidR="002C6C70" w:rsidRDefault="002C6C70">
      <w:pPr>
        <w:pStyle w:val="TableofFigures"/>
        <w:rPr>
          <w:i w:val="0"/>
          <w:noProof/>
          <w:color w:val="auto"/>
          <w:kern w:val="2"/>
          <w:sz w:val="24"/>
          <w:szCs w:val="24"/>
          <w:lang w:eastAsia="en-GB"/>
          <w14:ligatures w14:val="standardContextual"/>
        </w:rPr>
      </w:pPr>
      <w:r>
        <w:rPr>
          <w:noProof/>
        </w:rPr>
        <w:t>Figure 10</w:t>
      </w:r>
      <w:r>
        <w:rPr>
          <w:i w:val="0"/>
          <w:noProof/>
          <w:color w:val="auto"/>
          <w:kern w:val="2"/>
          <w:sz w:val="24"/>
          <w:szCs w:val="24"/>
          <w:lang w:eastAsia="en-GB"/>
          <w14:ligatures w14:val="standardContextual"/>
        </w:rPr>
        <w:tab/>
      </w:r>
      <w:r>
        <w:rPr>
          <w:noProof/>
        </w:rPr>
        <w:t>Subscription Notification operation.</w:t>
      </w:r>
      <w:r>
        <w:rPr>
          <w:noProof/>
        </w:rPr>
        <w:tab/>
      </w:r>
      <w:r>
        <w:rPr>
          <w:noProof/>
        </w:rPr>
        <w:fldChar w:fldCharType="begin"/>
      </w:r>
      <w:r>
        <w:rPr>
          <w:noProof/>
        </w:rPr>
        <w:instrText xml:space="preserve"> PAGEREF _Toc225158552 \h </w:instrText>
      </w:r>
      <w:r>
        <w:rPr>
          <w:noProof/>
        </w:rPr>
      </w:r>
      <w:r>
        <w:rPr>
          <w:noProof/>
        </w:rPr>
        <w:fldChar w:fldCharType="separate"/>
      </w:r>
      <w:r>
        <w:rPr>
          <w:noProof/>
        </w:rPr>
        <w:t>30</w:t>
      </w:r>
      <w:r>
        <w:rPr>
          <w:noProof/>
        </w:rPr>
        <w:fldChar w:fldCharType="end"/>
      </w:r>
    </w:p>
    <w:p w14:paraId="32B130E0" w14:textId="64B93BC1" w:rsidR="002C6C70" w:rsidRDefault="002C6C70">
      <w:pPr>
        <w:pStyle w:val="TableofFigures"/>
        <w:rPr>
          <w:i w:val="0"/>
          <w:noProof/>
          <w:color w:val="auto"/>
          <w:kern w:val="2"/>
          <w:sz w:val="24"/>
          <w:szCs w:val="24"/>
          <w:lang w:eastAsia="en-GB"/>
          <w14:ligatures w14:val="standardContextual"/>
        </w:rPr>
      </w:pPr>
      <w:r>
        <w:rPr>
          <w:noProof/>
        </w:rPr>
        <w:t>Figure 11</w:t>
      </w:r>
      <w:r>
        <w:rPr>
          <w:i w:val="0"/>
          <w:noProof/>
          <w:color w:val="auto"/>
          <w:kern w:val="2"/>
          <w:sz w:val="24"/>
          <w:szCs w:val="24"/>
          <w:lang w:eastAsia="en-GB"/>
          <w14:ligatures w14:val="standardContextual"/>
        </w:rPr>
        <w:tab/>
      </w:r>
      <w:r>
        <w:rPr>
          <w:noProof/>
        </w:rPr>
        <w:t>S-125 dataset coupled with service metadata in an S-100 Exchange Set.</w:t>
      </w:r>
      <w:r>
        <w:rPr>
          <w:noProof/>
        </w:rPr>
        <w:tab/>
      </w:r>
      <w:r>
        <w:rPr>
          <w:noProof/>
        </w:rPr>
        <w:fldChar w:fldCharType="begin"/>
      </w:r>
      <w:r>
        <w:rPr>
          <w:noProof/>
        </w:rPr>
        <w:instrText xml:space="preserve"> PAGEREF _Toc225158553 \h </w:instrText>
      </w:r>
      <w:r>
        <w:rPr>
          <w:noProof/>
        </w:rPr>
      </w:r>
      <w:r>
        <w:rPr>
          <w:noProof/>
        </w:rPr>
        <w:fldChar w:fldCharType="separate"/>
      </w:r>
      <w:r>
        <w:rPr>
          <w:noProof/>
        </w:rPr>
        <w:t>32</w:t>
      </w:r>
      <w:r>
        <w:rPr>
          <w:noProof/>
        </w:rPr>
        <w:fldChar w:fldCharType="end"/>
      </w:r>
    </w:p>
    <w:p w14:paraId="52ACD5D2" w14:textId="08F336CC" w:rsidR="002C6C70" w:rsidRDefault="002C6C70">
      <w:pPr>
        <w:pStyle w:val="TableofFigures"/>
        <w:rPr>
          <w:i w:val="0"/>
          <w:noProof/>
          <w:color w:val="auto"/>
          <w:kern w:val="2"/>
          <w:sz w:val="24"/>
          <w:szCs w:val="24"/>
          <w:lang w:eastAsia="en-GB"/>
          <w14:ligatures w14:val="standardContextual"/>
        </w:rPr>
      </w:pPr>
      <w:r>
        <w:rPr>
          <w:noProof/>
        </w:rPr>
        <w:t>Figure 12</w:t>
      </w:r>
      <w:r>
        <w:rPr>
          <w:i w:val="0"/>
          <w:noProof/>
          <w:color w:val="auto"/>
          <w:kern w:val="2"/>
          <w:sz w:val="24"/>
          <w:szCs w:val="24"/>
          <w:lang w:eastAsia="en-GB"/>
          <w14:ligatures w14:val="standardContextual"/>
        </w:rPr>
        <w:tab/>
      </w:r>
      <w:r>
        <w:rPr>
          <w:noProof/>
        </w:rPr>
        <w:t>Client-Initiated AtoN Information Retrieval through the Get operation.</w:t>
      </w:r>
      <w:r>
        <w:rPr>
          <w:noProof/>
        </w:rPr>
        <w:tab/>
      </w:r>
      <w:r>
        <w:rPr>
          <w:noProof/>
        </w:rPr>
        <w:fldChar w:fldCharType="begin"/>
      </w:r>
      <w:r>
        <w:rPr>
          <w:noProof/>
        </w:rPr>
        <w:instrText xml:space="preserve"> PAGEREF _Toc225158554 \h </w:instrText>
      </w:r>
      <w:r>
        <w:rPr>
          <w:noProof/>
        </w:rPr>
      </w:r>
      <w:r>
        <w:rPr>
          <w:noProof/>
        </w:rPr>
        <w:fldChar w:fldCharType="separate"/>
      </w:r>
      <w:r>
        <w:rPr>
          <w:noProof/>
        </w:rPr>
        <w:t>33</w:t>
      </w:r>
      <w:r>
        <w:rPr>
          <w:noProof/>
        </w:rPr>
        <w:fldChar w:fldCharType="end"/>
      </w:r>
    </w:p>
    <w:p w14:paraId="4B93A7F7" w14:textId="467C7CB3" w:rsidR="002C6C70" w:rsidRDefault="002C6C70">
      <w:pPr>
        <w:pStyle w:val="TableofFigures"/>
        <w:rPr>
          <w:i w:val="0"/>
          <w:noProof/>
          <w:color w:val="auto"/>
          <w:kern w:val="2"/>
          <w:sz w:val="24"/>
          <w:szCs w:val="24"/>
          <w:lang w:eastAsia="en-GB"/>
          <w14:ligatures w14:val="standardContextual"/>
        </w:rPr>
      </w:pPr>
      <w:r>
        <w:rPr>
          <w:noProof/>
        </w:rPr>
        <w:t>Figure 13</w:t>
      </w:r>
      <w:r>
        <w:rPr>
          <w:i w:val="0"/>
          <w:noProof/>
          <w:color w:val="auto"/>
          <w:kern w:val="2"/>
          <w:sz w:val="24"/>
          <w:szCs w:val="24"/>
          <w:lang w:eastAsia="en-GB"/>
          <w14:ligatures w14:val="standardContextual"/>
        </w:rPr>
        <w:tab/>
      </w:r>
      <w:r>
        <w:rPr>
          <w:noProof/>
        </w:rPr>
        <w:t>Client-Initiated AtoN Information Retrieval through the Get Summary operation.</w:t>
      </w:r>
      <w:r>
        <w:rPr>
          <w:noProof/>
        </w:rPr>
        <w:tab/>
      </w:r>
      <w:r>
        <w:rPr>
          <w:noProof/>
        </w:rPr>
        <w:fldChar w:fldCharType="begin"/>
      </w:r>
      <w:r>
        <w:rPr>
          <w:noProof/>
        </w:rPr>
        <w:instrText xml:space="preserve"> PAGEREF _Toc225158555 \h </w:instrText>
      </w:r>
      <w:r>
        <w:rPr>
          <w:noProof/>
        </w:rPr>
      </w:r>
      <w:r>
        <w:rPr>
          <w:noProof/>
        </w:rPr>
        <w:fldChar w:fldCharType="separate"/>
      </w:r>
      <w:r>
        <w:rPr>
          <w:noProof/>
        </w:rPr>
        <w:t>34</w:t>
      </w:r>
      <w:r>
        <w:rPr>
          <w:noProof/>
        </w:rPr>
        <w:fldChar w:fldCharType="end"/>
      </w:r>
    </w:p>
    <w:p w14:paraId="7A9F7DED" w14:textId="1D3587AC" w:rsidR="002C6C70" w:rsidRDefault="002C6C70">
      <w:pPr>
        <w:pStyle w:val="TableofFigures"/>
        <w:rPr>
          <w:i w:val="0"/>
          <w:noProof/>
          <w:color w:val="auto"/>
          <w:kern w:val="2"/>
          <w:sz w:val="24"/>
          <w:szCs w:val="24"/>
          <w:lang w:eastAsia="en-GB"/>
          <w14:ligatures w14:val="standardContextual"/>
        </w:rPr>
      </w:pPr>
      <w:r>
        <w:rPr>
          <w:noProof/>
        </w:rPr>
        <w:t>Figure 14</w:t>
      </w:r>
      <w:r>
        <w:rPr>
          <w:i w:val="0"/>
          <w:noProof/>
          <w:color w:val="auto"/>
          <w:kern w:val="2"/>
          <w:sz w:val="24"/>
          <w:szCs w:val="24"/>
          <w:lang w:eastAsia="en-GB"/>
          <w14:ligatures w14:val="standardContextual"/>
        </w:rPr>
        <w:tab/>
      </w:r>
      <w:r>
        <w:rPr>
          <w:noProof/>
        </w:rPr>
        <w:t>Subscription requested by external service.</w:t>
      </w:r>
      <w:r>
        <w:rPr>
          <w:noProof/>
        </w:rPr>
        <w:tab/>
      </w:r>
      <w:r>
        <w:rPr>
          <w:noProof/>
        </w:rPr>
        <w:fldChar w:fldCharType="begin"/>
      </w:r>
      <w:r>
        <w:rPr>
          <w:noProof/>
        </w:rPr>
        <w:instrText xml:space="preserve"> PAGEREF _Toc225158556 \h </w:instrText>
      </w:r>
      <w:r>
        <w:rPr>
          <w:noProof/>
        </w:rPr>
      </w:r>
      <w:r>
        <w:rPr>
          <w:noProof/>
        </w:rPr>
        <w:fldChar w:fldCharType="separate"/>
      </w:r>
      <w:r>
        <w:rPr>
          <w:noProof/>
        </w:rPr>
        <w:t>35</w:t>
      </w:r>
      <w:r>
        <w:rPr>
          <w:noProof/>
        </w:rPr>
        <w:fldChar w:fldCharType="end"/>
      </w:r>
    </w:p>
    <w:p w14:paraId="0D32AA8D" w14:textId="53AEED13" w:rsidR="00066EC8" w:rsidRDefault="00000000">
      <w:pPr>
        <w:pStyle w:val="BodyText"/>
        <w:sectPr w:rsidR="00066EC8">
          <w:headerReference w:type="even" r:id="rId22"/>
          <w:headerReference w:type="default" r:id="rId23"/>
          <w:headerReference w:type="first" r:id="rId24"/>
          <w:footerReference w:type="first" r:id="rId25"/>
          <w:pgSz w:w="11906" w:h="16838"/>
          <w:pgMar w:top="567" w:right="794" w:bottom="567" w:left="907" w:header="850" w:footer="784" w:gutter="0"/>
          <w:cols w:space="708"/>
        </w:sectPr>
      </w:pPr>
      <w:r>
        <w:fldChar w:fldCharType="end"/>
      </w:r>
    </w:p>
    <w:p w14:paraId="6BC59D4A" w14:textId="77777777" w:rsidR="00066EC8" w:rsidRDefault="00066EC8">
      <w:pPr>
        <w:pStyle w:val="Hidden"/>
        <w:numPr>
          <w:ilvl w:val="0"/>
          <w:numId w:val="86"/>
        </w:numPr>
      </w:pPr>
    </w:p>
    <w:p w14:paraId="17301752" w14:textId="77777777" w:rsidR="00066EC8" w:rsidRDefault="00000000">
      <w:pPr>
        <w:pStyle w:val="Title"/>
      </w:pPr>
      <w:bookmarkStart w:id="0" w:name="_Toc225158506"/>
      <w:r>
        <w:t>Marine Aids to Navigation (AtoN) Service Specification</w:t>
      </w:r>
      <w:bookmarkEnd w:id="0"/>
    </w:p>
    <w:p w14:paraId="2AFB6CF2" w14:textId="77777777" w:rsidR="00066EC8" w:rsidRDefault="00000000">
      <w:pPr>
        <w:pStyle w:val="Subtitle"/>
      </w:pPr>
      <w:r>
        <w:t>Service Specification for the Provision of AtoN information to End-Users</w:t>
      </w:r>
    </w:p>
    <w:p w14:paraId="0A8F56AF" w14:textId="77777777" w:rsidR="00066EC8" w:rsidRDefault="00000000">
      <w:pPr>
        <w:pStyle w:val="Heading1"/>
      </w:pPr>
      <w:bookmarkStart w:id="1" w:name="sec:introduction"/>
      <w:bookmarkStart w:id="2" w:name="_Toc225158507"/>
      <w:r>
        <w:t>Introduction</w:t>
      </w:r>
      <w:bookmarkEnd w:id="2"/>
    </w:p>
    <w:p w14:paraId="37FD3817" w14:textId="77777777" w:rsidR="00066EC8" w:rsidRDefault="00000000">
      <w:pPr>
        <w:pStyle w:val="FirstParagraph"/>
      </w:pPr>
      <w:r>
        <w:t>This document is a specification for the technical service of provision of Marine Aids to Navigation (AtoN) information, following the IALA guideline G1128 [1]. In the context of e-navigation there is a number of maritime services, and each of these make reference to a number of associated technical services. The technical services themselves are described on three levels;</w:t>
      </w:r>
    </w:p>
    <w:p w14:paraId="085D8CE5" w14:textId="77777777" w:rsidR="00066EC8" w:rsidRDefault="00000000">
      <w:pPr>
        <w:numPr>
          <w:ilvl w:val="0"/>
          <w:numId w:val="65"/>
        </w:numPr>
      </w:pPr>
      <w:r>
        <w:t>Service specification (this document)</w:t>
      </w:r>
    </w:p>
    <w:p w14:paraId="07F2EC0F" w14:textId="77777777" w:rsidR="00066EC8" w:rsidRDefault="00000000">
      <w:pPr>
        <w:numPr>
          <w:ilvl w:val="0"/>
          <w:numId w:val="65"/>
        </w:numPr>
      </w:pPr>
      <w:r>
        <w:t>Service design (one or more)</w:t>
      </w:r>
    </w:p>
    <w:p w14:paraId="0D56BE24" w14:textId="77777777" w:rsidR="00066EC8" w:rsidRDefault="00000000">
      <w:pPr>
        <w:numPr>
          <w:ilvl w:val="0"/>
          <w:numId w:val="65"/>
        </w:numPr>
      </w:pPr>
      <w:r>
        <w:t>Service instance (one or more)</w:t>
      </w:r>
    </w:p>
    <w:p w14:paraId="53C91184" w14:textId="77777777" w:rsidR="00066EC8" w:rsidRDefault="00000000">
      <w:pPr>
        <w:pStyle w:val="FirstParagraph"/>
      </w:pPr>
      <w:r>
        <w:t>All the above documents are part of G1128 and are explained in that guideline.</w:t>
      </w:r>
    </w:p>
    <w:p w14:paraId="63B1D5C2" w14:textId="77777777" w:rsidR="00066EC8" w:rsidRDefault="00000000">
      <w:pPr>
        <w:pStyle w:val="BodyText"/>
      </w:pPr>
      <w:r>
        <w:t>The AtoN information provision makes use of the IHO S-125 data model, which is outlined in the S-125 product specification. According to the International Hydrographic Office, S-125 - Marine Aids to Navigation (AtoN) describes navigational features including lights and other navigation aids, both physical and virtual; temporary and seasonal marks; and local AIS application-specific messages. Navigational services information may be considered supplementary additional information that complements the ENC. This specific technical service may be referenced in other S-1xx product specifications and maritime services including MS12 - Nautical Publications and MS02 - AtoN.</w:t>
      </w:r>
    </w:p>
    <w:p w14:paraId="38626764" w14:textId="77777777" w:rsidR="00066EC8" w:rsidRDefault="00000000">
      <w:pPr>
        <w:pStyle w:val="BodyText"/>
      </w:pPr>
      <w:r>
        <w:t>This service specification may be used with the Maritime Connectivity Platform (MCP), where the MCP would provide means of authentication of service providers and service consumers as well as means of service discoverability.</w:t>
      </w:r>
    </w:p>
    <w:p w14:paraId="32254118" w14:textId="77777777" w:rsidR="00066EC8" w:rsidRDefault="00000000">
      <w:pPr>
        <w:pStyle w:val="Heading2"/>
      </w:pPr>
      <w:bookmarkStart w:id="3" w:name="sec:introduction_purpose"/>
      <w:bookmarkStart w:id="4" w:name="_Toc225158508"/>
      <w:r>
        <w:t>Purpose of the Document</w:t>
      </w:r>
      <w:bookmarkEnd w:id="4"/>
    </w:p>
    <w:p w14:paraId="5A3F006C" w14:textId="77777777" w:rsidR="00066EC8" w:rsidRDefault="00000000">
      <w:pPr>
        <w:pStyle w:val="FirstParagraph"/>
      </w:pPr>
      <w:r>
        <w:t>The purpose of this service specification document is to provide a holistic overview of the service and its building blocks in a technology-independent way, according to the G1128 guideline. It describes a well-defined baseline of the service by clearly identifying the service version.</w:t>
      </w:r>
    </w:p>
    <w:p w14:paraId="3E000CBF" w14:textId="77777777" w:rsidR="00066EC8" w:rsidRDefault="00000000">
      <w:pPr>
        <w:pStyle w:val="BodyText"/>
      </w:pPr>
      <w:r>
        <w:t>The aim is to document the key aspects of the service at the logical level:</w:t>
      </w:r>
    </w:p>
    <w:p w14:paraId="22F5C93D" w14:textId="77777777" w:rsidR="00066EC8" w:rsidRDefault="00000000">
      <w:pPr>
        <w:numPr>
          <w:ilvl w:val="0"/>
          <w:numId w:val="66"/>
        </w:numPr>
      </w:pPr>
      <w:r>
        <w:t>the operational and business context of the service</w:t>
      </w:r>
    </w:p>
    <w:p w14:paraId="4A35F86F" w14:textId="77777777" w:rsidR="00066EC8" w:rsidRDefault="00000000">
      <w:pPr>
        <w:numPr>
          <w:ilvl w:val="1"/>
          <w:numId w:val="67"/>
        </w:numPr>
      </w:pPr>
      <w:r>
        <w:t>requirements for the service (e.g., information exchange requirements)</w:t>
      </w:r>
    </w:p>
    <w:p w14:paraId="13889AE9" w14:textId="77777777" w:rsidR="00066EC8" w:rsidRDefault="00000000">
      <w:pPr>
        <w:numPr>
          <w:ilvl w:val="1"/>
          <w:numId w:val="67"/>
        </w:numPr>
      </w:pPr>
      <w:r>
        <w:t>involved nodes: which operational components provide/consume the service</w:t>
      </w:r>
    </w:p>
    <w:p w14:paraId="7AAB9549" w14:textId="77777777" w:rsidR="00066EC8" w:rsidRDefault="00000000">
      <w:pPr>
        <w:numPr>
          <w:ilvl w:val="1"/>
          <w:numId w:val="67"/>
        </w:numPr>
      </w:pPr>
      <w:r>
        <w:t>operational activities supported by the service</w:t>
      </w:r>
    </w:p>
    <w:p w14:paraId="238B1E03" w14:textId="77777777" w:rsidR="00066EC8" w:rsidRDefault="00000000">
      <w:pPr>
        <w:numPr>
          <w:ilvl w:val="1"/>
          <w:numId w:val="67"/>
        </w:numPr>
      </w:pPr>
      <w:r>
        <w:t>relation of the service to other services</w:t>
      </w:r>
    </w:p>
    <w:p w14:paraId="2B0B22BF" w14:textId="77777777" w:rsidR="00066EC8" w:rsidRDefault="00000000">
      <w:pPr>
        <w:numPr>
          <w:ilvl w:val="0"/>
          <w:numId w:val="66"/>
        </w:numPr>
      </w:pPr>
      <w:r>
        <w:t>the service description</w:t>
      </w:r>
    </w:p>
    <w:p w14:paraId="6540C211" w14:textId="77777777" w:rsidR="00066EC8" w:rsidRDefault="00000000">
      <w:pPr>
        <w:numPr>
          <w:ilvl w:val="1"/>
          <w:numId w:val="68"/>
        </w:numPr>
      </w:pPr>
      <w:r>
        <w:t>service operations</w:t>
      </w:r>
    </w:p>
    <w:p w14:paraId="0061E75D" w14:textId="77777777" w:rsidR="00066EC8" w:rsidRDefault="00000000">
      <w:pPr>
        <w:numPr>
          <w:ilvl w:val="1"/>
          <w:numId w:val="68"/>
        </w:numPr>
      </w:pPr>
      <w:r>
        <w:t>service operation parameters</w:t>
      </w:r>
    </w:p>
    <w:p w14:paraId="46F57E73" w14:textId="77777777" w:rsidR="00066EC8" w:rsidRDefault="00000000">
      <w:pPr>
        <w:numPr>
          <w:ilvl w:val="1"/>
          <w:numId w:val="68"/>
        </w:numPr>
      </w:pPr>
      <w:r>
        <w:t>service payload definition</w:t>
      </w:r>
    </w:p>
    <w:p w14:paraId="5300ED4D" w14:textId="77777777" w:rsidR="00066EC8" w:rsidRDefault="00000000">
      <w:pPr>
        <w:numPr>
          <w:ilvl w:val="1"/>
          <w:numId w:val="68"/>
        </w:numPr>
      </w:pPr>
      <w:r>
        <w:t>service dynamic behaviour description</w:t>
      </w:r>
    </w:p>
    <w:p w14:paraId="659C7DEF" w14:textId="77777777" w:rsidR="00066EC8" w:rsidRDefault="00000000">
      <w:pPr>
        <w:numPr>
          <w:ilvl w:val="0"/>
          <w:numId w:val="66"/>
        </w:numPr>
      </w:pPr>
      <w:r>
        <w:t>service provision and validation aspects</w:t>
      </w:r>
    </w:p>
    <w:p w14:paraId="3F98274B" w14:textId="77777777" w:rsidR="00066EC8" w:rsidRDefault="00000000">
      <w:pPr>
        <w:pStyle w:val="Heading2"/>
      </w:pPr>
      <w:bookmarkStart w:id="5" w:name="sec:intended_readership"/>
      <w:bookmarkStart w:id="6" w:name="_Toc225158509"/>
      <w:bookmarkEnd w:id="1"/>
      <w:r>
        <w:lastRenderedPageBreak/>
        <w:t>Intended Readership</w:t>
      </w:r>
      <w:bookmarkEnd w:id="6"/>
    </w:p>
    <w:p w14:paraId="4B28508C" w14:textId="77777777" w:rsidR="00066EC8" w:rsidRDefault="00000000">
      <w:pPr>
        <w:pStyle w:val="FirstParagraph"/>
      </w:pPr>
      <w:r>
        <w:t>This service specification is intended to be read by service architects, system engineers and developers in charge of designing and developing an instance of the service.</w:t>
      </w:r>
    </w:p>
    <w:p w14:paraId="64A6DEB4" w14:textId="77777777" w:rsidR="00066EC8" w:rsidRDefault="00000000">
      <w:pPr>
        <w:pStyle w:val="BodyText"/>
      </w:pPr>
      <w:r>
        <w:t>Furthermore, this service specification is intended to be read by enterprise architects, service architects, information architects, system engineers and developers in pursuing architecting, design and development activities of other related services.</w:t>
      </w:r>
    </w:p>
    <w:p w14:paraId="70BA830B" w14:textId="77777777" w:rsidR="00066EC8" w:rsidRDefault="00000000">
      <w:pPr>
        <w:pStyle w:val="Heading2"/>
      </w:pPr>
      <w:bookmarkStart w:id="7" w:name="sec:definitions"/>
      <w:bookmarkStart w:id="8" w:name="_Toc225158510"/>
      <w:bookmarkEnd w:id="3"/>
      <w:r>
        <w:t>Definitions</w:t>
      </w:r>
      <w:bookmarkEnd w:id="8"/>
    </w:p>
    <w:p w14:paraId="3E422D2A" w14:textId="77777777" w:rsidR="00066EC8" w:rsidRDefault="00000000">
      <w:pPr>
        <w:pStyle w:val="FirstParagraph"/>
      </w:pPr>
      <w:r>
        <w:t>The following definitions describe terms used in this specification:</w:t>
      </w:r>
    </w:p>
    <w:p w14:paraId="0BCB7AF4" w14:textId="77777777" w:rsidR="00066EC8" w:rsidRDefault="00000000">
      <w:pPr>
        <w:numPr>
          <w:ilvl w:val="0"/>
          <w:numId w:val="69"/>
        </w:numPr>
      </w:pPr>
      <w:r>
        <w:rPr>
          <w:b/>
          <w:bCs/>
        </w:rPr>
        <w:t>Aid to Navigation (AtoN)</w:t>
      </w:r>
      <w:r>
        <w:t xml:space="preserve"> - A device, system or service, external to vessels, designed and operated to enhance safe and efficient navigation.</w:t>
      </w:r>
    </w:p>
    <w:p w14:paraId="18389C30" w14:textId="77777777" w:rsidR="00066EC8" w:rsidRDefault="00000000">
      <w:pPr>
        <w:numPr>
          <w:ilvl w:val="0"/>
          <w:numId w:val="69"/>
        </w:numPr>
      </w:pPr>
      <w:r>
        <w:rPr>
          <w:b/>
          <w:bCs/>
        </w:rPr>
        <w:t>Navigational Warning (NW)</w:t>
      </w:r>
      <w:r>
        <w:t xml:space="preserve"> - A broadcast message containing urgent information relevant to safe navigation.</w:t>
      </w:r>
    </w:p>
    <w:p w14:paraId="4ECCA418" w14:textId="77777777" w:rsidR="00066EC8" w:rsidRDefault="00000000">
      <w:pPr>
        <w:numPr>
          <w:ilvl w:val="0"/>
          <w:numId w:val="69"/>
        </w:numPr>
      </w:pPr>
      <w:r>
        <w:rPr>
          <w:b/>
          <w:bCs/>
        </w:rPr>
        <w:t>Maritime</w:t>
      </w:r>
      <w:r>
        <w:t xml:space="preserve"> Safety Information (MSI) - Navigational and meteorological warnings, meteorological forecasts and other urgent safety-related messages.</w:t>
      </w:r>
    </w:p>
    <w:p w14:paraId="1BC01193" w14:textId="77777777" w:rsidR="00066EC8" w:rsidRDefault="00000000">
      <w:pPr>
        <w:numPr>
          <w:ilvl w:val="0"/>
          <w:numId w:val="69"/>
        </w:numPr>
      </w:pPr>
      <w:r>
        <w:rPr>
          <w:b/>
          <w:bCs/>
        </w:rPr>
        <w:t>Navaid</w:t>
      </w:r>
      <w:r>
        <w:t xml:space="preserve"> - An instrument, device or nautical publication carried on board a vessel for the purpose of assisting navigation.</w:t>
      </w:r>
    </w:p>
    <w:p w14:paraId="326EFA9C" w14:textId="77777777" w:rsidR="00066EC8" w:rsidRDefault="00000000">
      <w:pPr>
        <w:numPr>
          <w:ilvl w:val="0"/>
          <w:numId w:val="69"/>
        </w:numPr>
      </w:pPr>
      <w:r>
        <w:rPr>
          <w:b/>
          <w:bCs/>
        </w:rPr>
        <w:t>NAVAREA</w:t>
      </w:r>
      <w:r>
        <w:t xml:space="preserve"> - A geographical sea area, as shown in the appendix (IMO A.706(17) established for the purpose of co-ordinating the transmission of radio navigational warnings. Where appropriate, the term NAVAREA followed by an identifying roman numeral may be used as a short title. The delimitation of such areas is not related to and shall not prejudice the delimitation of any boundaries between States.</w:t>
      </w:r>
    </w:p>
    <w:p w14:paraId="66911414" w14:textId="77777777" w:rsidR="00066EC8" w:rsidRDefault="00000000">
      <w:pPr>
        <w:numPr>
          <w:ilvl w:val="0"/>
          <w:numId w:val="69"/>
        </w:numPr>
      </w:pPr>
      <w:r>
        <w:rPr>
          <w:b/>
          <w:bCs/>
        </w:rPr>
        <w:t>NAVAREA</w:t>
      </w:r>
      <w:r>
        <w:t xml:space="preserve"> Co-ordinator - The authority charged with co-ordinating, collating and issuing long-range navigational warnings and NAVAREA warnings bulletins to cover the whole of the NAVAREA</w:t>
      </w:r>
    </w:p>
    <w:p w14:paraId="66BC2233" w14:textId="77777777" w:rsidR="00066EC8" w:rsidRDefault="00000000">
      <w:pPr>
        <w:numPr>
          <w:ilvl w:val="0"/>
          <w:numId w:val="69"/>
        </w:numPr>
      </w:pPr>
      <w:r>
        <w:rPr>
          <w:b/>
          <w:bCs/>
        </w:rPr>
        <w:t>NAVTEX</w:t>
      </w:r>
      <w:r>
        <w:t xml:space="preserve"> - Single frequency time-shared broadcast system with automated reception and message rejection/selection facilities. Use of NAVTEX is regulated by the IMO NAVTEX Manual (IMO publication 951).</w:t>
      </w:r>
    </w:p>
    <w:p w14:paraId="5A78DDAF" w14:textId="77777777" w:rsidR="00066EC8" w:rsidRDefault="00000000">
      <w:pPr>
        <w:numPr>
          <w:ilvl w:val="0"/>
          <w:numId w:val="69"/>
        </w:numPr>
      </w:pPr>
      <w:r>
        <w:rPr>
          <w:b/>
          <w:bCs/>
        </w:rPr>
        <w:t>SafetyNET Service</w:t>
      </w:r>
      <w:r>
        <w:t xml:space="preserve"> – Dedicated international satellite broadcast system with automated reception and message rejection/selection facilities.</w:t>
      </w:r>
    </w:p>
    <w:p w14:paraId="69DD76A3" w14:textId="77777777" w:rsidR="00066EC8" w:rsidRDefault="00000000">
      <w:pPr>
        <w:numPr>
          <w:ilvl w:val="0"/>
          <w:numId w:val="69"/>
        </w:numPr>
      </w:pPr>
      <w:r>
        <w:rPr>
          <w:b/>
          <w:bCs/>
        </w:rPr>
        <w:t>SafetyCast Service</w:t>
      </w:r>
      <w:r>
        <w:t xml:space="preserve"> – Dedicated international mobile satellite service in the Global Maritime Distress and Safety System (GMDSS) for broadcasting navigational warnings, meteorological warnings and forecasts, and Search and Rescue (SAR) related information.</w:t>
      </w:r>
    </w:p>
    <w:p w14:paraId="701D32EA" w14:textId="77777777" w:rsidR="00066EC8" w:rsidRDefault="00000000">
      <w:r>
        <w:br w:type="page"/>
      </w:r>
    </w:p>
    <w:p w14:paraId="2B3723D6" w14:textId="77777777" w:rsidR="00066EC8" w:rsidRDefault="00000000">
      <w:pPr>
        <w:pStyle w:val="Heading1"/>
      </w:pPr>
      <w:bookmarkStart w:id="9" w:name="sec:service_identification"/>
      <w:bookmarkStart w:id="10" w:name="_Toc225158511"/>
      <w:bookmarkEnd w:id="5"/>
      <w:bookmarkEnd w:id="7"/>
      <w:r>
        <w:lastRenderedPageBreak/>
        <w:t>Service Identification</w:t>
      </w:r>
      <w:bookmarkEnd w:id="10"/>
    </w:p>
    <w:p w14:paraId="7D6680B6" w14:textId="77777777" w:rsidR="00066EC8" w:rsidRDefault="00000000">
      <w:pPr>
        <w:pStyle w:val="FirstParagraph"/>
      </w:pPr>
      <w:r>
        <w:t>The purpose of this chapter is to provide a unique identification of the service and describe where the service is in terms of the engineering lifecycle.</w:t>
      </w:r>
    </w:p>
    <w:p w14:paraId="6064BA41" w14:textId="77777777" w:rsidR="00066EC8" w:rsidRDefault="00000000">
      <w:pPr>
        <w:pStyle w:val="TableCaption"/>
        <w:numPr>
          <w:ilvl w:val="0"/>
          <w:numId w:val="70"/>
        </w:numPr>
      </w:pPr>
      <w:bookmarkStart w:id="11" w:name="Xe81f6cc3951465dd1d3b5108fd94cdf22f3b8b6"/>
      <w:bookmarkStart w:id="12" w:name="_Toc225158435"/>
      <w:r>
        <w:t>Service Identification Information.</w:t>
      </w:r>
      <w:bookmarkEnd w:id="12"/>
    </w:p>
    <w:tbl>
      <w:tblPr>
        <w:tblStyle w:val="Table"/>
        <w:tblW w:w="5000" w:type="pct"/>
        <w:tblLayout w:type="fixed"/>
        <w:tblLook w:val="0020" w:firstRow="1" w:lastRow="0" w:firstColumn="0" w:lastColumn="0" w:noHBand="0" w:noVBand="0"/>
        <w:tblCaption w:val="Service Identification Information."/>
      </w:tblPr>
      <w:tblGrid>
        <w:gridCol w:w="1812"/>
        <w:gridCol w:w="8383"/>
      </w:tblGrid>
      <w:tr w:rsidR="00066EC8" w14:paraId="0A398E57" w14:textId="77777777">
        <w:trPr>
          <w:cnfStyle w:val="100000000000" w:firstRow="1" w:lastRow="0" w:firstColumn="0" w:lastColumn="0" w:oddVBand="0" w:evenVBand="0" w:oddHBand="0" w:evenHBand="0" w:firstRowFirstColumn="0" w:firstRowLastColumn="0" w:lastRowFirstColumn="0" w:lastRowLastColumn="0"/>
          <w:tblHeader/>
        </w:trPr>
        <w:tc>
          <w:tcPr>
            <w:tcW w:w="1408" w:type="dxa"/>
          </w:tcPr>
          <w:p w14:paraId="134A3E6F" w14:textId="77777777" w:rsidR="00066EC8" w:rsidRDefault="00000000">
            <w:pPr>
              <w:pStyle w:val="Compact"/>
            </w:pPr>
            <w:r>
              <w:t>Information Field</w:t>
            </w:r>
          </w:p>
        </w:tc>
        <w:tc>
          <w:tcPr>
            <w:tcW w:w="6512" w:type="dxa"/>
          </w:tcPr>
          <w:p w14:paraId="2249F49A" w14:textId="77777777" w:rsidR="00066EC8" w:rsidRDefault="00000000">
            <w:pPr>
              <w:pStyle w:val="Compact"/>
            </w:pPr>
            <w:r>
              <w:t>Information Value</w:t>
            </w:r>
          </w:p>
        </w:tc>
      </w:tr>
      <w:tr w:rsidR="00066EC8" w14:paraId="0026B334" w14:textId="77777777">
        <w:tc>
          <w:tcPr>
            <w:tcW w:w="1408" w:type="dxa"/>
          </w:tcPr>
          <w:p w14:paraId="5D1663A4" w14:textId="77777777" w:rsidR="00066EC8" w:rsidRDefault="00000000">
            <w:pPr>
              <w:pStyle w:val="Compact"/>
            </w:pPr>
            <w:r>
              <w:t>Name</w:t>
            </w:r>
          </w:p>
        </w:tc>
        <w:tc>
          <w:tcPr>
            <w:tcW w:w="6512" w:type="dxa"/>
          </w:tcPr>
          <w:p w14:paraId="3EF961B8" w14:textId="77777777" w:rsidR="00066EC8" w:rsidRDefault="00000000">
            <w:pPr>
              <w:pStyle w:val="Compact"/>
            </w:pPr>
            <w:r>
              <w:t>TBD</w:t>
            </w:r>
          </w:p>
        </w:tc>
      </w:tr>
      <w:tr w:rsidR="00066EC8" w14:paraId="3D981C28" w14:textId="77777777">
        <w:tc>
          <w:tcPr>
            <w:tcW w:w="1408" w:type="dxa"/>
          </w:tcPr>
          <w:p w14:paraId="67B57FD2" w14:textId="77777777" w:rsidR="00066EC8" w:rsidRDefault="00000000">
            <w:pPr>
              <w:pStyle w:val="Compact"/>
            </w:pPr>
            <w:r>
              <w:t>ID</w:t>
            </w:r>
          </w:p>
        </w:tc>
        <w:tc>
          <w:tcPr>
            <w:tcW w:w="6512" w:type="dxa"/>
          </w:tcPr>
          <w:p w14:paraId="38F58265" w14:textId="77777777" w:rsidR="00066EC8" w:rsidRDefault="00000000">
            <w:pPr>
              <w:pStyle w:val="Compact"/>
            </w:pPr>
            <w:r>
              <w:t>MRN assigned by IALA (ex: urn:mrn:iala:techsvc:ss:arm:atoninfo:1.0)</w:t>
            </w:r>
          </w:p>
        </w:tc>
      </w:tr>
      <w:tr w:rsidR="00066EC8" w14:paraId="3DEA44E2" w14:textId="77777777">
        <w:tc>
          <w:tcPr>
            <w:tcW w:w="1408" w:type="dxa"/>
          </w:tcPr>
          <w:p w14:paraId="0F7CFE9B" w14:textId="77777777" w:rsidR="00066EC8" w:rsidRDefault="00000000">
            <w:pPr>
              <w:pStyle w:val="Compact"/>
            </w:pPr>
            <w:r>
              <w:t>Version</w:t>
            </w:r>
          </w:p>
        </w:tc>
        <w:tc>
          <w:tcPr>
            <w:tcW w:w="6512" w:type="dxa"/>
          </w:tcPr>
          <w:p w14:paraId="49402C24" w14:textId="77777777" w:rsidR="00066EC8" w:rsidRDefault="00000000">
            <w:pPr>
              <w:pStyle w:val="Compact"/>
            </w:pPr>
            <w:r>
              <w:t>1.0</w:t>
            </w:r>
          </w:p>
        </w:tc>
      </w:tr>
      <w:tr w:rsidR="00066EC8" w14:paraId="541EA528" w14:textId="77777777">
        <w:tc>
          <w:tcPr>
            <w:tcW w:w="1408" w:type="dxa"/>
          </w:tcPr>
          <w:p w14:paraId="5F6169D7" w14:textId="77777777" w:rsidR="00066EC8" w:rsidRDefault="00000000">
            <w:pPr>
              <w:pStyle w:val="Compact"/>
            </w:pPr>
            <w:r>
              <w:t>Description</w:t>
            </w:r>
          </w:p>
        </w:tc>
        <w:tc>
          <w:tcPr>
            <w:tcW w:w="6512" w:type="dxa"/>
          </w:tcPr>
          <w:p w14:paraId="372651D8" w14:textId="77777777" w:rsidR="00066EC8" w:rsidRDefault="00066EC8">
            <w:pPr>
              <w:pStyle w:val="Compact"/>
            </w:pPr>
          </w:p>
        </w:tc>
      </w:tr>
      <w:tr w:rsidR="00066EC8" w14:paraId="59708DBD" w14:textId="77777777">
        <w:tc>
          <w:tcPr>
            <w:tcW w:w="1408" w:type="dxa"/>
          </w:tcPr>
          <w:p w14:paraId="36B2D9A1" w14:textId="77777777" w:rsidR="00066EC8" w:rsidRDefault="00000000">
            <w:pPr>
              <w:pStyle w:val="Compact"/>
            </w:pPr>
            <w:r>
              <w:t>Keywords</w:t>
            </w:r>
          </w:p>
        </w:tc>
        <w:tc>
          <w:tcPr>
            <w:tcW w:w="6512" w:type="dxa"/>
          </w:tcPr>
          <w:p w14:paraId="0653D720" w14:textId="77777777" w:rsidR="00066EC8" w:rsidRDefault="00000000">
            <w:pPr>
              <w:pStyle w:val="Compact"/>
            </w:pPr>
            <w:r>
              <w:t>Marine Aids to Navigation, S-125</w:t>
            </w:r>
          </w:p>
        </w:tc>
      </w:tr>
      <w:tr w:rsidR="00066EC8" w14:paraId="2902DCA7" w14:textId="77777777">
        <w:tc>
          <w:tcPr>
            <w:tcW w:w="1408" w:type="dxa"/>
          </w:tcPr>
          <w:p w14:paraId="4DFA5E75" w14:textId="77777777" w:rsidR="00066EC8" w:rsidRDefault="00000000">
            <w:pPr>
              <w:pStyle w:val="Compact"/>
            </w:pPr>
            <w:r>
              <w:t>Architect(s)</w:t>
            </w:r>
          </w:p>
        </w:tc>
        <w:tc>
          <w:tcPr>
            <w:tcW w:w="6512" w:type="dxa"/>
          </w:tcPr>
          <w:p w14:paraId="19067D55" w14:textId="77777777" w:rsidR="00066EC8" w:rsidRDefault="00066EC8">
            <w:pPr>
              <w:pStyle w:val="Compact"/>
            </w:pPr>
          </w:p>
        </w:tc>
      </w:tr>
      <w:tr w:rsidR="00066EC8" w14:paraId="58295B5F" w14:textId="77777777">
        <w:tc>
          <w:tcPr>
            <w:tcW w:w="1408" w:type="dxa"/>
          </w:tcPr>
          <w:p w14:paraId="6DD7C40A" w14:textId="77777777" w:rsidR="00066EC8" w:rsidRDefault="00000000">
            <w:pPr>
              <w:pStyle w:val="Compact"/>
            </w:pPr>
            <w:r>
              <w:t>Status</w:t>
            </w:r>
          </w:p>
        </w:tc>
        <w:tc>
          <w:tcPr>
            <w:tcW w:w="6512" w:type="dxa"/>
          </w:tcPr>
          <w:p w14:paraId="09889784" w14:textId="77777777" w:rsidR="00066EC8" w:rsidRDefault="00000000">
            <w:pPr>
              <w:pStyle w:val="Compact"/>
            </w:pPr>
            <w:r>
              <w:t>Provisional</w:t>
            </w:r>
          </w:p>
        </w:tc>
      </w:tr>
      <w:bookmarkEnd w:id="9"/>
    </w:tbl>
    <w:p w14:paraId="45A34319" w14:textId="77777777" w:rsidR="00066EC8" w:rsidRDefault="00000000">
      <w:r>
        <w:br w:type="page"/>
      </w:r>
    </w:p>
    <w:p w14:paraId="2351EC07" w14:textId="77777777" w:rsidR="00066EC8" w:rsidRDefault="00000000">
      <w:pPr>
        <w:pStyle w:val="Heading1"/>
      </w:pPr>
      <w:bookmarkStart w:id="13" w:name="sec:operational_context"/>
      <w:bookmarkStart w:id="14" w:name="_Toc225158512"/>
      <w:bookmarkEnd w:id="11"/>
      <w:r>
        <w:lastRenderedPageBreak/>
        <w:t>Operational Context</w:t>
      </w:r>
      <w:bookmarkEnd w:id="14"/>
    </w:p>
    <w:p w14:paraId="18D88922" w14:textId="77777777" w:rsidR="00066EC8" w:rsidRDefault="00000000">
      <w:pPr>
        <w:pStyle w:val="FirstParagraph"/>
      </w:pPr>
      <w:r>
        <w:t>This section describes the context of the service from an operational perspective.</w:t>
      </w:r>
    </w:p>
    <w:p w14:paraId="4611A6DB" w14:textId="77777777" w:rsidR="00066EC8" w:rsidRDefault="00000000">
      <w:pPr>
        <w:pStyle w:val="Heading2"/>
      </w:pPr>
      <w:bookmarkStart w:id="15" w:name="Xbef318ad27cdb63912f16b508c1357300014661"/>
      <w:bookmarkStart w:id="16" w:name="_Toc225158513"/>
      <w:r>
        <w:t>Pre S-125 Operational Context {sec:pres_125_operational_context}</w:t>
      </w:r>
      <w:bookmarkEnd w:id="16"/>
    </w:p>
    <w:p w14:paraId="2E3B00AB" w14:textId="77777777" w:rsidR="00066EC8" w:rsidRDefault="00000000">
      <w:pPr>
        <w:pStyle w:val="FirstParagraph"/>
      </w:pPr>
      <w:r>
        <w:t>From a practical perspective, the List of Lights is intended for use by mariners as a compendium to the navigational chart for AtoN information. In accordance with IHO S-12, The List of Lights and Fog Signals describe maritime signal installations on land or afloat producing light or sound signals (fog signals). In addition, these volumes contain information relating to certain other navigational aids: buoyage (day and night); signals (port signals, rescue signals, tide signals, etc.), radio-based aids (radio beacons, radar, radio navigation systems), etc.</w:t>
      </w:r>
    </w:p>
    <w:p w14:paraId="2895632F" w14:textId="77777777" w:rsidR="00066EC8" w:rsidRDefault="00000000">
      <w:pPr>
        <w:pStyle w:val="BodyText"/>
      </w:pPr>
      <w:r>
        <w:t>IHO S-53, is concerned with drafting navigational warnings or with the issuance of meteorological forecasts and warnings under the Global Maritime Distress and Safety System (GMDSS). Maritime Safety Information (MSI) is promulgated in accordance with the requirements of IMO resolution A.705(17), as amended. Navigational Warnings are issued under the auspices of the IMO/International Hydrographic Organization (IHO) World-Wide Navigational Warning Service (WWNWS) in accordance with the requirements of IMO resolution A.706(17), as amended. Navigational Warnings (NW), including ATON casualties or changes which may impact navigational safety, are part of the Maritime Safety Information (MSI) system. This includes casualties to lights, fog signals, buoys and other aids to navigation affecting main shipping lanes as well as establishment of major new aids to navigation or significant changes to existing ones, when such establishment or change might be misleading to shipping. Currently, NW are promulgated as a radio broadcast and then printed in text format. The messages are standardized as SafetyNET, SafetyCast, NAVTEX broadcasts, and are in some countries accessible on the WWW or as voice broadcasts via coastal radio stations. System interfaces between NW publishers, NAVAREA (or Sub-Area) coordinator and broadcast service are not standardized, and may rely on manual processes involving e-mail, telephone, voice radio transmissions, fax, telex and manual re-entering of information from one system to another, or much more advanced solutions. Provision of NW via web is not standardized. NAVTEX, SafetyCast and SafetyNET cannot transport structured data formats for a joint NW-NM solution.</w:t>
      </w:r>
    </w:p>
    <w:p w14:paraId="060ACB5C" w14:textId="77777777" w:rsidR="00066EC8" w:rsidRDefault="00000000">
      <w:pPr>
        <w:pStyle w:val="BodyText"/>
      </w:pPr>
      <w:r>
        <w:t>The pre-S-125 “present day” operational context of promulgation at the component level, is depicted below. A generalize assumption is made that information management systems are unique to each ATON Administration.</w:t>
      </w:r>
    </w:p>
    <w:p w14:paraId="67282E42" w14:textId="77777777" w:rsidR="00066EC8" w:rsidRDefault="00000000">
      <w:pPr>
        <w:pStyle w:val="CaptionedFigure"/>
      </w:pPr>
      <w:r>
        <w:rPr>
          <w:noProof/>
        </w:rPr>
        <w:drawing>
          <wp:inline distT="0" distB="0" distL="0" distR="0" wp14:anchorId="6EA43C2A" wp14:editId="2DA4F751">
            <wp:extent cx="6477000" cy="3238500"/>
            <wp:effectExtent l="0" t="0" r="0" b="0"/>
            <wp:docPr id="1" name="Picture" descr="Pre S-125 “Present Day” Operational Context."/>
            <wp:cNvGraphicFramePr/>
            <a:graphic xmlns:a="http://schemas.openxmlformats.org/drawingml/2006/main">
              <a:graphicData uri="http://schemas.openxmlformats.org/drawingml/2006/picture">
                <pic:pic xmlns:pic="http://schemas.openxmlformats.org/drawingml/2006/picture">
                  <pic:nvPicPr>
                    <pic:cNvPr id="1" name="Picture" descr="source/guideline/../../resources/PresentDayOperationalContext.png"/>
                    <pic:cNvPicPr>
                      <a:picLocks noChangeAspect="1" noChangeArrowheads="1"/>
                    </pic:cNvPicPr>
                  </pic:nvPicPr>
                  <pic:blipFill>
                    <a:blip r:embed="rId26"/>
                    <a:stretch>
                      <a:fillRect/>
                    </a:stretch>
                  </pic:blipFill>
                  <pic:spPr bwMode="auto">
                    <a:xfrm>
                      <a:off x="0" y="0"/>
                      <a:ext cx="6477000" cy="3238500"/>
                    </a:xfrm>
                    <a:prstGeom prst="rect">
                      <a:avLst/>
                    </a:prstGeom>
                    <a:noFill/>
                    <a:ln w="9525">
                      <a:noFill/>
                      <a:headEnd/>
                      <a:tailEnd/>
                    </a:ln>
                  </pic:spPr>
                </pic:pic>
              </a:graphicData>
            </a:graphic>
          </wp:inline>
        </w:drawing>
      </w:r>
    </w:p>
    <w:p w14:paraId="0B838FC4" w14:textId="77777777" w:rsidR="00066EC8" w:rsidRDefault="00000000">
      <w:pPr>
        <w:pStyle w:val="ImageCaption"/>
        <w:numPr>
          <w:ilvl w:val="0"/>
          <w:numId w:val="71"/>
        </w:numPr>
      </w:pPr>
      <w:bookmarkStart w:id="17" w:name="_Toc225158543"/>
      <w:r>
        <w:t>Pre S-125 “Present Day” Operational Context.</w:t>
      </w:r>
      <w:bookmarkEnd w:id="17"/>
    </w:p>
    <w:p w14:paraId="512F1A5C" w14:textId="77777777" w:rsidR="00066EC8" w:rsidRDefault="00000000">
      <w:pPr>
        <w:pStyle w:val="BodyText"/>
      </w:pPr>
      <w:r>
        <w:lastRenderedPageBreak/>
        <w:t>System interfaces between AtoN Administrations, Hydrographic Officers, Nautical Publication Publishers, and dissemination methods are unique, and may rely on manual processes involving carriage of paper print copies or human readable digital renditions obtained via web services or email. Provision of the AtoN information included within the List of Lights via web services is not standardized.</w:t>
      </w:r>
    </w:p>
    <w:p w14:paraId="17131231" w14:textId="77777777" w:rsidR="00066EC8" w:rsidRDefault="00000000">
      <w:pPr>
        <w:pStyle w:val="Heading2"/>
      </w:pPr>
      <w:bookmarkStart w:id="18" w:name="sec:envisioned_operational_context"/>
      <w:bookmarkStart w:id="19" w:name="_Toc225158514"/>
      <w:bookmarkEnd w:id="13"/>
      <w:r>
        <w:t>Envisioned Operational Context</w:t>
      </w:r>
      <w:bookmarkEnd w:id="19"/>
    </w:p>
    <w:p w14:paraId="51ADA250" w14:textId="77777777" w:rsidR="00066EC8" w:rsidRDefault="00000000">
      <w:pPr>
        <w:pStyle w:val="CaptionedFigure"/>
      </w:pPr>
      <w:r>
        <w:rPr>
          <w:noProof/>
        </w:rPr>
        <w:drawing>
          <wp:inline distT="0" distB="0" distL="0" distR="0" wp14:anchorId="2CB0B32C" wp14:editId="11D6632C">
            <wp:extent cx="6221260" cy="3260942"/>
            <wp:effectExtent l="0" t="0" r="0" b="0"/>
            <wp:docPr id="2" name="Picture" descr="Envisioned S-125 Operational Context"/>
            <wp:cNvGraphicFramePr/>
            <a:graphic xmlns:a="http://schemas.openxmlformats.org/drawingml/2006/main">
              <a:graphicData uri="http://schemas.openxmlformats.org/drawingml/2006/picture">
                <pic:pic xmlns:pic="http://schemas.openxmlformats.org/drawingml/2006/picture">
                  <pic:nvPicPr>
                    <pic:cNvPr id="2" name="Picture" descr="source/guideline/../../resources/S125OperationalContext.png"/>
                    <pic:cNvPicPr>
                      <a:picLocks noChangeAspect="1" noChangeArrowheads="1"/>
                    </pic:cNvPicPr>
                  </pic:nvPicPr>
                  <pic:blipFill>
                    <a:blip r:embed="rId27"/>
                    <a:stretch>
                      <a:fillRect/>
                    </a:stretch>
                  </pic:blipFill>
                  <pic:spPr bwMode="auto">
                    <a:xfrm>
                      <a:off x="0" y="0"/>
                      <a:ext cx="6221260" cy="3260942"/>
                    </a:xfrm>
                    <a:prstGeom prst="rect">
                      <a:avLst/>
                    </a:prstGeom>
                    <a:noFill/>
                    <a:ln w="9525">
                      <a:noFill/>
                      <a:headEnd/>
                      <a:tailEnd/>
                    </a:ln>
                  </pic:spPr>
                </pic:pic>
              </a:graphicData>
            </a:graphic>
          </wp:inline>
        </w:drawing>
      </w:r>
    </w:p>
    <w:p w14:paraId="0D38BFF7" w14:textId="77777777" w:rsidR="00066EC8" w:rsidRDefault="00000000">
      <w:pPr>
        <w:pStyle w:val="ImageCaption"/>
      </w:pPr>
      <w:bookmarkStart w:id="20" w:name="_Toc225158544"/>
      <w:r>
        <w:t>Envisioned S-125 Operational Context</w:t>
      </w:r>
      <w:bookmarkEnd w:id="20"/>
    </w:p>
    <w:p w14:paraId="55292598" w14:textId="77777777" w:rsidR="00066EC8" w:rsidRDefault="00000000">
      <w:pPr>
        <w:pStyle w:val="BodyText"/>
      </w:pPr>
      <w:r>
        <w:t>This scenario depicts an envisaged future of S-125 data exchange. Based on a standardized structured AtoN information (List of Lights) format, compatible systems will be able to exchange AtoN Data seamlessly. As depicted, each AtoN Administration may have a unique AtoN Information Management System. This system should automatically promulgate S-125 Data from the authoritative source for use by national and local authorities (e.g. Coastal State Authorities, Harbor and Port Authorities), the mariner public, as well as being available for use by commercial value-added services providers. The provision of an “S-125 Service” described in this document, is depicted as those activities after production of the S-125 data by AtoN administrations in the above diagram. It is envisioned that the legacy IHO S-12 data is a subcomponent and replaced by S-125. Administrations may desire to continue providing S-12 format human readable “paper reference” List of Lights in addition to the S-125 Marine Navigation Services, either transitionally, or indefinitely.</w:t>
      </w:r>
    </w:p>
    <w:p w14:paraId="26942145" w14:textId="77777777" w:rsidR="00066EC8" w:rsidRDefault="00000000">
      <w:pPr>
        <w:pStyle w:val="BodyText"/>
      </w:pPr>
      <w:r>
        <w:t>AtoN Administrations will administer and publish local S-125 Data for their area of responsibility, typically this includes areas within that state’s exclusive economic zone. Where appropriate they should coordinate with adjacent or overlapping AtoN administrations who share responsibility within the same waterway. (e.g. Both the U.S. Coast Guard and Canadian Coast Guard maintain aids to navigation within the waterways comprising the Great Lakes.) The instance descriptions will provide detailed information of coverage area available to users.</w:t>
      </w:r>
    </w:p>
    <w:p w14:paraId="1BCD20DF" w14:textId="77777777" w:rsidR="00066EC8" w:rsidRDefault="00000000">
      <w:pPr>
        <w:pStyle w:val="CaptionedFigure"/>
      </w:pPr>
      <w:r>
        <w:rPr>
          <w:noProof/>
        </w:rPr>
        <w:lastRenderedPageBreak/>
        <w:drawing>
          <wp:inline distT="0" distB="0" distL="0" distR="0" wp14:anchorId="68A74DB2" wp14:editId="755CA723">
            <wp:extent cx="6477000" cy="3209165"/>
            <wp:effectExtent l="0" t="0" r="0" b="0"/>
            <wp:docPr id="3" name="Picture" descr="Example of the AtoN information flow, as per [2]."/>
            <wp:cNvGraphicFramePr/>
            <a:graphic xmlns:a="http://schemas.openxmlformats.org/drawingml/2006/main">
              <a:graphicData uri="http://schemas.openxmlformats.org/drawingml/2006/picture">
                <pic:pic xmlns:pic="http://schemas.openxmlformats.org/drawingml/2006/picture">
                  <pic:nvPicPr>
                    <pic:cNvPr id="3" name="Picture" descr="source/guideline/../../resources/AtoNInfoDistribution.png"/>
                    <pic:cNvPicPr>
                      <a:picLocks noChangeAspect="1" noChangeArrowheads="1"/>
                    </pic:cNvPicPr>
                  </pic:nvPicPr>
                  <pic:blipFill>
                    <a:blip r:embed="rId28"/>
                    <a:stretch>
                      <a:fillRect/>
                    </a:stretch>
                  </pic:blipFill>
                  <pic:spPr bwMode="auto">
                    <a:xfrm>
                      <a:off x="0" y="0"/>
                      <a:ext cx="6477000" cy="3209165"/>
                    </a:xfrm>
                    <a:prstGeom prst="rect">
                      <a:avLst/>
                    </a:prstGeom>
                    <a:noFill/>
                    <a:ln w="9525">
                      <a:noFill/>
                      <a:headEnd/>
                      <a:tailEnd/>
                    </a:ln>
                  </pic:spPr>
                </pic:pic>
              </a:graphicData>
            </a:graphic>
          </wp:inline>
        </w:drawing>
      </w:r>
    </w:p>
    <w:p w14:paraId="2772C575" w14:textId="77777777" w:rsidR="00066EC8" w:rsidRDefault="00000000">
      <w:pPr>
        <w:pStyle w:val="ImageCaption"/>
      </w:pPr>
      <w:bookmarkStart w:id="21" w:name="_Toc225158545"/>
      <w:r>
        <w:t>Example of the AtoN information flow, as per [2].</w:t>
      </w:r>
      <w:bookmarkEnd w:id="21"/>
    </w:p>
    <w:p w14:paraId="790DE70D" w14:textId="77777777" w:rsidR="00066EC8" w:rsidRDefault="00000000">
      <w:pPr>
        <w:pStyle w:val="BodyText"/>
      </w:pPr>
      <w:r>
        <w:t xml:space="preserve">The service described in this specification defines the exchange of AtoN information between a service provider and the end user of such a service. In the most common case, the end user will use an ECDIS to receive and display the information onboard a ship. However, as illustrated in the IALA interperation of the IMO </w:t>
      </w:r>
      <w:r>
        <w:rPr>
          <w:i/>
          <w:iCs/>
        </w:rPr>
        <w:t>MS-2 Aids to Navigation</w:t>
      </w:r>
      <w:r>
        <w:t xml:space="preserve"> maritime service [2], seen in Figure 3, the application of this service specification is not limited to the exchange of information from shore to ship. It may also be used to harmonise the exchange of AtoN information between other stakeholders in the data distribution chain before it is received by the end user on a ship. This includes the data exchange between AtoN Authorities, coastal authorities, Regional Electronic Navigational Chart Coordination Centre (RENCs), Value Added Providers, public portals, and other entities. Depending on the specific requirements, the service usage patterns may differ. For example, A Value-Added Provider could pull all available data and subscribe to updates from a data producer (e.g., national AtoN authority) and redistribute the data to the end user via its own implementation of this service (after applying validation checks or optimising the data for a specific group of end users). The orchestration of multiple AtoN information services in the distribution chain, however, is not in the scope of this document and lies within the responsibility of the service provider(s).</w:t>
      </w:r>
    </w:p>
    <w:p w14:paraId="2565DDDA" w14:textId="77777777" w:rsidR="00066EC8" w:rsidRDefault="00000000">
      <w:pPr>
        <w:pStyle w:val="Heading3"/>
      </w:pPr>
      <w:bookmarkStart w:id="22" w:name="sec:relationship_of_s124_to_s125"/>
      <w:bookmarkStart w:id="23" w:name="_Toc225158515"/>
      <w:r>
        <w:t>Relationship of S-124 to S-125</w:t>
      </w:r>
      <w:bookmarkEnd w:id="23"/>
    </w:p>
    <w:p w14:paraId="4FFCBF0C" w14:textId="77777777" w:rsidR="00066EC8" w:rsidRDefault="00000000">
      <w:pPr>
        <w:pStyle w:val="FirstParagraph"/>
      </w:pPr>
      <w:r>
        <w:t>MSI Providers (National and NAVAREA Co-ordinators) are the recognised authorities for promulgating and cancelling Navigational Warnings. An AtoN outage, or discrepancy as further defined within the IHO S-53 standard, is reported as a Navigational Warning and immediately communicated by the S-124 service. Upon confirmation of the discrepancy, the responsible ATON authority will include the report of outage in the S-125 dataset. The inclusion of the reported outage as part of S-125 will be in duplication to warnings provided as part of S-124. MSI providers are responsible for the removal of any Navigational Warnings from applicable S-124, and the AtoN authority is responsible for withdrawing the outage report from S-125. A Navigational Warning in S-124 will remain in force and continue to be promulgated by GMDSS broadcast services, since adding the information to the S-125 database will not, on its own, be sufficient to cancel the warning from GMDSS broadcast.</w:t>
      </w:r>
    </w:p>
    <w:p w14:paraId="2E3A1ACF" w14:textId="77777777" w:rsidR="00066EC8" w:rsidRDefault="00000000">
      <w:pPr>
        <w:pStyle w:val="BodyText"/>
      </w:pPr>
      <w:r>
        <w:t>Whereas Navigation Warnings are disseminated as soon as possible via S-124, the S-125 dataset is updated on a routine cyclical basis. In this manner, time-critical Navigational Warnings regarding AtoN are rapidly disseminated to users via S-124 to provide awareness until the S-125 data set is updated. The duplication of long-term S-124 “temporary information” regarding AtoN Outages within S-125 will help lower the chance the mariner overlooks older critical navigation safety information. All in-force NAVAREA warnings should remain in S-124. The NAVAREA coordinators should be the only agency responsible for cancelling these warnings.</w:t>
      </w:r>
    </w:p>
    <w:p w14:paraId="06233CD0" w14:textId="77777777" w:rsidR="00066EC8" w:rsidRDefault="00000000">
      <w:pPr>
        <w:pStyle w:val="Heading3"/>
      </w:pPr>
      <w:bookmarkStart w:id="24" w:name="sec:relationship_of_s125_to_s201"/>
      <w:bookmarkStart w:id="25" w:name="_Toc225158516"/>
      <w:bookmarkEnd w:id="15"/>
      <w:r>
        <w:lastRenderedPageBreak/>
        <w:t>Relationship of S-125 to S-201</w:t>
      </w:r>
      <w:bookmarkEnd w:id="25"/>
    </w:p>
    <w:p w14:paraId="10E0A13A" w14:textId="77777777" w:rsidR="00066EC8" w:rsidRDefault="00000000">
      <w:pPr>
        <w:pStyle w:val="FirstParagraph"/>
      </w:pPr>
      <w:r>
        <w:t>S-201 is a standard for compiling all data related to any AtoN including maintenance schedules, equipment types (such as battery and bulb types). S-201 is intended to be the means of communicating and exchanging such information with its main partners such as hydrographic offices, and in certain circumstances with IALA, within an AtoN organization or between AtoN organizations. The S-201 dataset, as a whole, is not intended for portrayal on navigation systems, like ECDIS. S-201 includes additional cartographic information to inform about AtoN services that would not be appropriate in a navigation system, such as positioning source confidence.</w:t>
      </w:r>
    </w:p>
    <w:p w14:paraId="1495E140" w14:textId="77777777" w:rsidR="00066EC8" w:rsidRDefault="00000000">
      <w:pPr>
        <w:pStyle w:val="BodyText"/>
      </w:pPr>
      <w:r>
        <w:t>The S-125 product is derived from S-201 data. The S-125 service provides the machine-to-machine exchange of information for use in ECDIS/ECS and public distribution. S-125 is the digital equivalent of the extended list of lights in order to meet IMO SOLAS Chapter V requirements of having list of lights on board and serve as a continually updated list of AtoN and navaids. The organizational structure of Coastal State Authorities and Hydrographic Offices vary between nations. The authoritative source of S-201 data, including S-125, may also vary between nations. Therefore, it is recommended all coastal state authorities should establish an appropriate organizational structure and designated authoritative source for S-201 and S-125 data.</w:t>
      </w:r>
    </w:p>
    <w:p w14:paraId="54EF0A0C" w14:textId="77777777" w:rsidR="00066EC8" w:rsidRDefault="00000000">
      <w:pPr>
        <w:pStyle w:val="Heading3"/>
      </w:pPr>
      <w:bookmarkStart w:id="26" w:name="sec:relationship_of_s101_to_s125"/>
      <w:bookmarkStart w:id="27" w:name="_Toc225158517"/>
      <w:bookmarkEnd w:id="18"/>
      <w:r>
        <w:t>Relationship of S-101 to S-125</w:t>
      </w:r>
      <w:bookmarkEnd w:id="27"/>
    </w:p>
    <w:p w14:paraId="7161583B" w14:textId="77777777" w:rsidR="00066EC8" w:rsidRDefault="00000000">
      <w:pPr>
        <w:pStyle w:val="FirstParagraph"/>
      </w:pPr>
      <w:r>
        <w:t>The AtoN data presented in the layers of the S-101 Electronic Navigation Chart (ENC) represents the design state of the aid. Information S-125 data serves as the AtoN compendium for charts, facilitating voyage monitoring and planning functions by providing emergent data related to discrepancies, temporary changes, proposed and advanced notice of changes to AtoN not represented in the S-101 data.</w:t>
      </w:r>
    </w:p>
    <w:p w14:paraId="3E82C286" w14:textId="77777777" w:rsidR="00066EC8" w:rsidRDefault="00000000">
      <w:pPr>
        <w:pStyle w:val="Heading3"/>
      </w:pPr>
      <w:bookmarkStart w:id="28" w:name="sec:discoverability_and_dissemination"/>
      <w:bookmarkStart w:id="29" w:name="_Toc225158518"/>
      <w:bookmarkEnd w:id="22"/>
      <w:r>
        <w:t>Discoverability and Dissemination</w:t>
      </w:r>
      <w:bookmarkEnd w:id="29"/>
    </w:p>
    <w:p w14:paraId="396D6885" w14:textId="77777777" w:rsidR="00066EC8" w:rsidRDefault="00000000">
      <w:pPr>
        <w:pStyle w:val="FirstParagraph"/>
      </w:pPr>
      <w:r>
        <w:t>The S-125 data should be made available to public facing portals and be discoverable to mariners, Coastal State Authorities, and commercial value-added providers. S-125 data should enhance S-124 NW and ENC S-101 services, especially by reducing the effort in the transformation of data, with the harmonization of data models. This could be accomplished by introducing efficient data exchange mechanism between authorities. It is envisioned that upon complying with applicable ship reporting requirements to Coastal State Authorities, a vessel would then receive available S-xxx data supporting Maritime Services (e.g. latest ENC S-101 updates, S-125 Marine ATON, S-127 Marine Traffic Management, S-129 Under Keel Clearance, etc.) appropriate for their respective route.</w:t>
      </w:r>
    </w:p>
    <w:p w14:paraId="354F87FD" w14:textId="77777777" w:rsidR="00066EC8" w:rsidRDefault="00000000">
      <w:pPr>
        <w:pStyle w:val="BodyText"/>
      </w:pPr>
      <w:r>
        <w:t>The S-125 Data received by ships will thus depend on the promulgation method of choice. If, say, a ship targets the website of a specific port or Coastal State authority; it may see only that data provided by the corresponding AtoN Administration. If, however, the ship queries for S-125 data via other non-governmental public portals, it may receive S-125 data from various national and local authorities who have made their S-125 data available through that portal. The S-125 Service detailed in this specification only caters for a small part of this promulgation regime. It exposes multiple service operations for machine-to-machine consumptions of all current Aton Information from the targeted authority. It may be used by any client, such as a ship, a website or an app.</w:t>
      </w:r>
    </w:p>
    <w:p w14:paraId="4720CE4D" w14:textId="77777777" w:rsidR="00066EC8" w:rsidRDefault="00000000">
      <w:pPr>
        <w:pStyle w:val="BodyText"/>
      </w:pPr>
      <w:r>
        <w:t>An S-125 service enables a system (ECDIS/ECS, or other route planning system) to retrieve S-125 dataset(s). Generally speaking, information regarding AtoN along a planned route is requested by the user from the service. In cases where the requested information is provided by multiple authoritative sources, the S-125 data may need to be retrieved from multiple service instances. The S-125 service instance(s) is known to the system, or the system has access to a service registry in which the service instance can be discovered.</w:t>
      </w:r>
    </w:p>
    <w:p w14:paraId="50972E32" w14:textId="77777777" w:rsidR="00066EC8" w:rsidRDefault="00000000">
      <w:pPr>
        <w:pStyle w:val="BodyText"/>
      </w:pPr>
      <w:r>
        <w:t>Ordinary Sequence:</w:t>
      </w:r>
    </w:p>
    <w:p w14:paraId="52D42647" w14:textId="77777777" w:rsidR="00066EC8" w:rsidRDefault="00000000">
      <w:pPr>
        <w:numPr>
          <w:ilvl w:val="0"/>
          <w:numId w:val="72"/>
        </w:numPr>
      </w:pPr>
      <w:r>
        <w:t>The route is planned on the system by the mariner.</w:t>
      </w:r>
    </w:p>
    <w:p w14:paraId="2FCD6423" w14:textId="77777777" w:rsidR="00066EC8" w:rsidRDefault="00000000">
      <w:pPr>
        <w:numPr>
          <w:ilvl w:val="0"/>
          <w:numId w:val="72"/>
        </w:numPr>
      </w:pPr>
      <w:r>
        <w:t xml:space="preserve">The system requests AtoN status information from the service based on one of various means, including geometry of the route (all AtoN along the route) possibly defined by S-421 route exchange, geographic area defined by the mariner in the form of a point geometry with a search radius or a polygon, or by selection of predefined data subset(s) as provided by the authoritative source. The system could also request the complete S-125 dataset available from the authoritative source/service provider. Data </w:t>
      </w:r>
      <w:r>
        <w:lastRenderedPageBreak/>
        <w:t>requests can result in a singular response, or recurring response based upon subscription parameters such as geographical area, or time duration.</w:t>
      </w:r>
    </w:p>
    <w:p w14:paraId="75874D3B" w14:textId="77777777" w:rsidR="00066EC8" w:rsidRDefault="00000000">
      <w:pPr>
        <w:numPr>
          <w:ilvl w:val="0"/>
          <w:numId w:val="72"/>
        </w:numPr>
      </w:pPr>
      <w:r>
        <w:t>The service directly answers the request with the appropriate data. This includes all relevant datasets to the user’s request. To ensure that all relevant safety information is presented to the mariner, datasets may not be broken or divided from what it provided by the authoritative source.</w:t>
      </w:r>
    </w:p>
    <w:p w14:paraId="62AACB50" w14:textId="77777777" w:rsidR="00066EC8" w:rsidRDefault="00000000">
      <w:pPr>
        <w:numPr>
          <w:ilvl w:val="0"/>
          <w:numId w:val="72"/>
        </w:numPr>
      </w:pPr>
      <w:r>
        <w:t>The data is rendered and displayed to the user.</w:t>
      </w:r>
    </w:p>
    <w:p w14:paraId="4D46B811" w14:textId="77777777" w:rsidR="00066EC8" w:rsidRDefault="00000000">
      <w:pPr>
        <w:pStyle w:val="Heading3"/>
      </w:pPr>
      <w:bookmarkStart w:id="30" w:name="sec:ecdis_compat"/>
      <w:bookmarkStart w:id="31" w:name="_Toc225158519"/>
      <w:bookmarkEnd w:id="24"/>
      <w:r>
        <w:t>ECDIS Compatibility</w:t>
      </w:r>
      <w:bookmarkEnd w:id="31"/>
    </w:p>
    <w:p w14:paraId="2D10559E" w14:textId="77777777" w:rsidR="00066EC8" w:rsidRDefault="00000000">
      <w:pPr>
        <w:pStyle w:val="FirstParagraph"/>
      </w:pPr>
      <w:r>
        <w:t>Since S-125 is intended for ECDIS, it is required that S-125 comply with requirements of S-98, the Interoperability Catalogue Specification for ECDIS. This standard will govern how the various product layers will interact within an ECDIS. Within the IHO, S-98 is developed and maintained by S-100WG.</w:t>
      </w:r>
    </w:p>
    <w:p w14:paraId="66B16863" w14:textId="77777777" w:rsidR="00066EC8" w:rsidRDefault="00000000">
      <w:pPr>
        <w:pStyle w:val="Heading2"/>
      </w:pPr>
      <w:bookmarkStart w:id="32" w:name="sec:functional_non_functional_reqs"/>
      <w:bookmarkStart w:id="33" w:name="_Toc225158520"/>
      <w:bookmarkEnd w:id="26"/>
      <w:bookmarkEnd w:id="28"/>
      <w:r>
        <w:t>Functional and Non-functional Requirements</w:t>
      </w:r>
      <w:bookmarkEnd w:id="33"/>
    </w:p>
    <w:p w14:paraId="3EFE7D93" w14:textId="77777777" w:rsidR="00066EC8" w:rsidRDefault="00000000">
      <w:pPr>
        <w:pStyle w:val="FirstParagraph"/>
      </w:pPr>
      <w:r>
        <w:t>The table below defines the functional requirements, as there are defined in the IALA documentation for the IMO MS-2 Aids to Navigation Maritime Service [2]. Please note that the feature identifiers referenced in Table 2, are also referring to service features identified in the IALA MS-2 specification document.</w:t>
      </w:r>
    </w:p>
    <w:p w14:paraId="4424418D" w14:textId="77777777" w:rsidR="00066EC8" w:rsidRDefault="00000000">
      <w:pPr>
        <w:pStyle w:val="TableCaption"/>
      </w:pPr>
      <w:bookmarkStart w:id="34" w:name="tbl:ms2-functional-requirements"/>
      <w:bookmarkStart w:id="35" w:name="_Toc225158436"/>
      <w:r>
        <w:t>Functional Requirements for the MS-2 – Aids to Navigation Service.</w:t>
      </w:r>
      <w:bookmarkEnd w:id="35"/>
    </w:p>
    <w:tbl>
      <w:tblPr>
        <w:tblStyle w:val="Table"/>
        <w:tblW w:w="5000" w:type="pct"/>
        <w:tblLayout w:type="fixed"/>
        <w:tblLook w:val="0020" w:firstRow="1" w:lastRow="0" w:firstColumn="0" w:lastColumn="0" w:noHBand="0" w:noVBand="0"/>
        <w:tblCaption w:val="Functional Requirements for the MS-2 – Aids to Navigation Service."/>
      </w:tblPr>
      <w:tblGrid>
        <w:gridCol w:w="2039"/>
        <w:gridCol w:w="2039"/>
        <w:gridCol w:w="2039"/>
        <w:gridCol w:w="2039"/>
        <w:gridCol w:w="2039"/>
      </w:tblGrid>
      <w:tr w:rsidR="00066EC8" w14:paraId="047F9663" w14:textId="77777777">
        <w:trPr>
          <w:cnfStyle w:val="100000000000" w:firstRow="1" w:lastRow="0" w:firstColumn="0" w:lastColumn="0" w:oddVBand="0" w:evenVBand="0" w:oddHBand="0" w:evenHBand="0" w:firstRowFirstColumn="0" w:firstRowLastColumn="0" w:lastRowFirstColumn="0" w:lastRowLastColumn="0"/>
          <w:tblHeader/>
        </w:trPr>
        <w:tc>
          <w:tcPr>
            <w:tcW w:w="1584" w:type="dxa"/>
          </w:tcPr>
          <w:p w14:paraId="3DF38D33" w14:textId="77777777" w:rsidR="00066EC8" w:rsidRDefault="00000000">
            <w:pPr>
              <w:pStyle w:val="Compact"/>
            </w:pPr>
            <w:r>
              <w:t>Requirement Type</w:t>
            </w:r>
          </w:p>
        </w:tc>
        <w:tc>
          <w:tcPr>
            <w:tcW w:w="1584" w:type="dxa"/>
          </w:tcPr>
          <w:p w14:paraId="437CA23D" w14:textId="77777777" w:rsidR="00066EC8" w:rsidRDefault="00000000">
            <w:pPr>
              <w:pStyle w:val="Compact"/>
            </w:pPr>
            <w:r>
              <w:t>Requirement ID</w:t>
            </w:r>
          </w:p>
        </w:tc>
        <w:tc>
          <w:tcPr>
            <w:tcW w:w="1584" w:type="dxa"/>
          </w:tcPr>
          <w:p w14:paraId="1F68C74B" w14:textId="77777777" w:rsidR="00066EC8" w:rsidRDefault="00000000">
            <w:pPr>
              <w:pStyle w:val="Compact"/>
            </w:pPr>
            <w:r>
              <w:t>Requirement Name</w:t>
            </w:r>
          </w:p>
        </w:tc>
        <w:tc>
          <w:tcPr>
            <w:tcW w:w="1584" w:type="dxa"/>
          </w:tcPr>
          <w:p w14:paraId="11B24684" w14:textId="77777777" w:rsidR="00066EC8" w:rsidRDefault="00000000">
            <w:pPr>
              <w:pStyle w:val="Compact"/>
            </w:pPr>
            <w:r>
              <w:t>Requirement Text</w:t>
            </w:r>
          </w:p>
        </w:tc>
        <w:tc>
          <w:tcPr>
            <w:tcW w:w="1584" w:type="dxa"/>
          </w:tcPr>
          <w:p w14:paraId="7F47E741" w14:textId="77777777" w:rsidR="00066EC8" w:rsidRDefault="00000000">
            <w:pPr>
              <w:pStyle w:val="Compact"/>
            </w:pPr>
            <w:r>
              <w:t>Feature Identifier</w:t>
            </w:r>
          </w:p>
        </w:tc>
      </w:tr>
      <w:tr w:rsidR="00066EC8" w14:paraId="187EF192" w14:textId="77777777">
        <w:tc>
          <w:tcPr>
            <w:tcW w:w="1584" w:type="dxa"/>
          </w:tcPr>
          <w:p w14:paraId="2DB90B7D" w14:textId="77777777" w:rsidR="00066EC8" w:rsidRDefault="00000000">
            <w:pPr>
              <w:pStyle w:val="Compact"/>
            </w:pPr>
            <w:r>
              <w:rPr>
                <w:b/>
                <w:bCs/>
              </w:rPr>
              <w:t>Functional</w:t>
            </w:r>
          </w:p>
        </w:tc>
        <w:tc>
          <w:tcPr>
            <w:tcW w:w="1584" w:type="dxa"/>
          </w:tcPr>
          <w:p w14:paraId="2EFA84BE" w14:textId="77777777" w:rsidR="00066EC8" w:rsidRDefault="00000000">
            <w:pPr>
              <w:pStyle w:val="Compact"/>
            </w:pPr>
            <w:r>
              <w:t>MS2-FR001</w:t>
            </w:r>
          </w:p>
        </w:tc>
        <w:tc>
          <w:tcPr>
            <w:tcW w:w="1584" w:type="dxa"/>
          </w:tcPr>
          <w:p w14:paraId="5BC327B1" w14:textId="77777777" w:rsidR="00066EC8" w:rsidRDefault="00000000">
            <w:pPr>
              <w:pStyle w:val="Compact"/>
            </w:pPr>
            <w:r>
              <w:t>Provision of dataset(s)</w:t>
            </w:r>
          </w:p>
        </w:tc>
        <w:tc>
          <w:tcPr>
            <w:tcW w:w="1584" w:type="dxa"/>
          </w:tcPr>
          <w:p w14:paraId="68D693C1" w14:textId="77777777" w:rsidR="00066EC8" w:rsidRDefault="00000000">
            <w:pPr>
              <w:pStyle w:val="Compact"/>
            </w:pPr>
            <w:r>
              <w:t>The service provides S-100 compliant dataset(s) with all current and valid AtoN Information assigned to that dataset(s).</w:t>
            </w:r>
          </w:p>
        </w:tc>
        <w:tc>
          <w:tcPr>
            <w:tcW w:w="1584" w:type="dxa"/>
          </w:tcPr>
          <w:p w14:paraId="0AEF46E2" w14:textId="77777777" w:rsidR="00066EC8" w:rsidRDefault="00000000">
            <w:pPr>
              <w:pStyle w:val="Compact"/>
            </w:pPr>
            <w:r>
              <w:t>F001, F005</w:t>
            </w:r>
          </w:p>
        </w:tc>
      </w:tr>
      <w:tr w:rsidR="00066EC8" w14:paraId="0F9DE0E5" w14:textId="77777777">
        <w:tc>
          <w:tcPr>
            <w:tcW w:w="1584" w:type="dxa"/>
          </w:tcPr>
          <w:p w14:paraId="59061A9F" w14:textId="77777777" w:rsidR="00066EC8" w:rsidRDefault="00000000">
            <w:pPr>
              <w:pStyle w:val="Compact"/>
            </w:pPr>
            <w:r>
              <w:rPr>
                <w:b/>
                <w:bCs/>
              </w:rPr>
              <w:t>Functional</w:t>
            </w:r>
          </w:p>
        </w:tc>
        <w:tc>
          <w:tcPr>
            <w:tcW w:w="1584" w:type="dxa"/>
          </w:tcPr>
          <w:p w14:paraId="5A382286" w14:textId="77777777" w:rsidR="00066EC8" w:rsidRDefault="00000000">
            <w:pPr>
              <w:pStyle w:val="Compact"/>
            </w:pPr>
            <w:r>
              <w:t>MS2-FR002</w:t>
            </w:r>
          </w:p>
        </w:tc>
        <w:tc>
          <w:tcPr>
            <w:tcW w:w="1584" w:type="dxa"/>
          </w:tcPr>
          <w:p w14:paraId="36914393" w14:textId="77777777" w:rsidR="00066EC8" w:rsidRDefault="00000000">
            <w:pPr>
              <w:pStyle w:val="Compact"/>
            </w:pPr>
            <w:r>
              <w:t>Request for dataset(s)</w:t>
            </w:r>
          </w:p>
        </w:tc>
        <w:tc>
          <w:tcPr>
            <w:tcW w:w="1584" w:type="dxa"/>
          </w:tcPr>
          <w:p w14:paraId="7DDA3085" w14:textId="77777777" w:rsidR="00066EC8" w:rsidRDefault="00000000">
            <w:pPr>
              <w:pStyle w:val="Compact"/>
            </w:pPr>
            <w:r>
              <w:t>The end users can receive on demand S-100 compliant dataset(s). Service providers will respond with current data relevant to the request but will not subdivide datasets to less than that defined by the authoritative source of the data.</w:t>
            </w:r>
          </w:p>
        </w:tc>
        <w:tc>
          <w:tcPr>
            <w:tcW w:w="1584" w:type="dxa"/>
          </w:tcPr>
          <w:p w14:paraId="36846184" w14:textId="77777777" w:rsidR="00066EC8" w:rsidRDefault="00000000">
            <w:pPr>
              <w:pStyle w:val="Compact"/>
            </w:pPr>
            <w:r>
              <w:t>F001, F005</w:t>
            </w:r>
          </w:p>
        </w:tc>
      </w:tr>
      <w:tr w:rsidR="00066EC8" w14:paraId="71019E43" w14:textId="77777777">
        <w:tc>
          <w:tcPr>
            <w:tcW w:w="1584" w:type="dxa"/>
          </w:tcPr>
          <w:p w14:paraId="36C95FCC" w14:textId="77777777" w:rsidR="00066EC8" w:rsidRDefault="00000000">
            <w:pPr>
              <w:pStyle w:val="Compact"/>
            </w:pPr>
            <w:r>
              <w:rPr>
                <w:b/>
                <w:bCs/>
              </w:rPr>
              <w:t>Functional</w:t>
            </w:r>
          </w:p>
        </w:tc>
        <w:tc>
          <w:tcPr>
            <w:tcW w:w="1584" w:type="dxa"/>
          </w:tcPr>
          <w:p w14:paraId="666CEE32" w14:textId="77777777" w:rsidR="00066EC8" w:rsidRDefault="00000000">
            <w:pPr>
              <w:pStyle w:val="Compact"/>
            </w:pPr>
            <w:r>
              <w:t>MS2-FR003</w:t>
            </w:r>
          </w:p>
        </w:tc>
        <w:tc>
          <w:tcPr>
            <w:tcW w:w="1584" w:type="dxa"/>
          </w:tcPr>
          <w:p w14:paraId="7BFAF33D" w14:textId="77777777" w:rsidR="00066EC8" w:rsidRDefault="00000000">
            <w:pPr>
              <w:pStyle w:val="Compact"/>
            </w:pPr>
            <w:r>
              <w:t>Filter AtoN Information</w:t>
            </w:r>
          </w:p>
        </w:tc>
        <w:tc>
          <w:tcPr>
            <w:tcW w:w="1584" w:type="dxa"/>
          </w:tcPr>
          <w:p w14:paraId="65526DC2" w14:textId="77777777" w:rsidR="00066EC8" w:rsidRDefault="00000000">
            <w:pPr>
              <w:pStyle w:val="Compact"/>
            </w:pPr>
            <w:r>
              <w:t>The end-users can filter the AtoN information based on a point, line, polygon geometry, AtoN type, AtoN status etc.</w:t>
            </w:r>
          </w:p>
        </w:tc>
        <w:tc>
          <w:tcPr>
            <w:tcW w:w="1584" w:type="dxa"/>
          </w:tcPr>
          <w:p w14:paraId="26499C65" w14:textId="77777777" w:rsidR="00066EC8" w:rsidRDefault="00000000">
            <w:pPr>
              <w:pStyle w:val="Compact"/>
            </w:pPr>
            <w:r>
              <w:t>F001, F008</w:t>
            </w:r>
          </w:p>
        </w:tc>
      </w:tr>
      <w:tr w:rsidR="00066EC8" w14:paraId="2518FFBD" w14:textId="77777777">
        <w:tc>
          <w:tcPr>
            <w:tcW w:w="1584" w:type="dxa"/>
          </w:tcPr>
          <w:p w14:paraId="66216CCB" w14:textId="77777777" w:rsidR="00066EC8" w:rsidRDefault="00000000">
            <w:pPr>
              <w:pStyle w:val="Compact"/>
            </w:pPr>
            <w:r>
              <w:rPr>
                <w:b/>
                <w:bCs/>
              </w:rPr>
              <w:t>Functional</w:t>
            </w:r>
          </w:p>
        </w:tc>
        <w:tc>
          <w:tcPr>
            <w:tcW w:w="1584" w:type="dxa"/>
          </w:tcPr>
          <w:p w14:paraId="2B579CB6" w14:textId="77777777" w:rsidR="00066EC8" w:rsidRDefault="00000000">
            <w:pPr>
              <w:pStyle w:val="Compact"/>
            </w:pPr>
            <w:r>
              <w:t>MS2-FR004</w:t>
            </w:r>
          </w:p>
        </w:tc>
        <w:tc>
          <w:tcPr>
            <w:tcW w:w="1584" w:type="dxa"/>
          </w:tcPr>
          <w:p w14:paraId="5B23BA59" w14:textId="77777777" w:rsidR="00066EC8" w:rsidRDefault="00000000">
            <w:pPr>
              <w:pStyle w:val="Compact"/>
            </w:pPr>
            <w:r>
              <w:t>Retrieve AtoN Status Updates</w:t>
            </w:r>
          </w:p>
        </w:tc>
        <w:tc>
          <w:tcPr>
            <w:tcW w:w="1584" w:type="dxa"/>
          </w:tcPr>
          <w:p w14:paraId="04B0C612" w14:textId="77777777" w:rsidR="00066EC8" w:rsidRDefault="00000000">
            <w:pPr>
              <w:pStyle w:val="Compact"/>
            </w:pPr>
            <w:r>
              <w:t>The end-users are able to request and filter out only the AtoN which have associated status changes.</w:t>
            </w:r>
          </w:p>
        </w:tc>
        <w:tc>
          <w:tcPr>
            <w:tcW w:w="1584" w:type="dxa"/>
          </w:tcPr>
          <w:p w14:paraId="0CAB5CEF" w14:textId="77777777" w:rsidR="00066EC8" w:rsidRDefault="00000000">
            <w:pPr>
              <w:pStyle w:val="Compact"/>
            </w:pPr>
            <w:r>
              <w:t>F001, F008</w:t>
            </w:r>
          </w:p>
        </w:tc>
      </w:tr>
      <w:tr w:rsidR="00066EC8" w14:paraId="4D34AF95" w14:textId="77777777">
        <w:tc>
          <w:tcPr>
            <w:tcW w:w="1584" w:type="dxa"/>
          </w:tcPr>
          <w:p w14:paraId="4B17B101" w14:textId="77777777" w:rsidR="00066EC8" w:rsidRDefault="00000000">
            <w:pPr>
              <w:pStyle w:val="Compact"/>
            </w:pPr>
            <w:r>
              <w:rPr>
                <w:b/>
                <w:bCs/>
              </w:rPr>
              <w:lastRenderedPageBreak/>
              <w:t>Functional</w:t>
            </w:r>
          </w:p>
        </w:tc>
        <w:tc>
          <w:tcPr>
            <w:tcW w:w="1584" w:type="dxa"/>
          </w:tcPr>
          <w:p w14:paraId="66EE47CE" w14:textId="77777777" w:rsidR="00066EC8" w:rsidRDefault="00000000">
            <w:pPr>
              <w:pStyle w:val="Compact"/>
            </w:pPr>
            <w:r>
              <w:t>MS2-FR005</w:t>
            </w:r>
          </w:p>
        </w:tc>
        <w:tc>
          <w:tcPr>
            <w:tcW w:w="1584" w:type="dxa"/>
          </w:tcPr>
          <w:p w14:paraId="5E459EDF" w14:textId="77777777" w:rsidR="00066EC8" w:rsidRDefault="00000000">
            <w:pPr>
              <w:pStyle w:val="Compact"/>
            </w:pPr>
            <w:r>
              <w:t>Subscribe to dataset(s)</w:t>
            </w:r>
          </w:p>
        </w:tc>
        <w:tc>
          <w:tcPr>
            <w:tcW w:w="1584" w:type="dxa"/>
          </w:tcPr>
          <w:p w14:paraId="2FECC693" w14:textId="77777777" w:rsidR="00066EC8" w:rsidRDefault="00000000">
            <w:pPr>
              <w:pStyle w:val="Compact"/>
            </w:pPr>
            <w:r>
              <w:t>The end users can subscribe to receive S-100 compliant dataset(s) and their respective updates. Subscription requests should be able to include the start and stop time of the subscription.</w:t>
            </w:r>
          </w:p>
        </w:tc>
        <w:tc>
          <w:tcPr>
            <w:tcW w:w="1584" w:type="dxa"/>
          </w:tcPr>
          <w:p w14:paraId="298ACF05" w14:textId="77777777" w:rsidR="00066EC8" w:rsidRDefault="00000000">
            <w:pPr>
              <w:pStyle w:val="Compact"/>
            </w:pPr>
            <w:r>
              <w:t>F002, F004, F005</w:t>
            </w:r>
          </w:p>
        </w:tc>
      </w:tr>
      <w:tr w:rsidR="00066EC8" w14:paraId="476498ED" w14:textId="77777777">
        <w:tc>
          <w:tcPr>
            <w:tcW w:w="1584" w:type="dxa"/>
          </w:tcPr>
          <w:p w14:paraId="7940CCE1" w14:textId="77777777" w:rsidR="00066EC8" w:rsidRDefault="00000000">
            <w:pPr>
              <w:pStyle w:val="Compact"/>
            </w:pPr>
            <w:r>
              <w:rPr>
                <w:b/>
                <w:bCs/>
              </w:rPr>
              <w:t>Functional</w:t>
            </w:r>
          </w:p>
        </w:tc>
        <w:tc>
          <w:tcPr>
            <w:tcW w:w="1584" w:type="dxa"/>
          </w:tcPr>
          <w:p w14:paraId="4600C734" w14:textId="77777777" w:rsidR="00066EC8" w:rsidRDefault="00000000">
            <w:pPr>
              <w:pStyle w:val="Compact"/>
            </w:pPr>
            <w:r>
              <w:t>MS2-FR006</w:t>
            </w:r>
          </w:p>
        </w:tc>
        <w:tc>
          <w:tcPr>
            <w:tcW w:w="1584" w:type="dxa"/>
          </w:tcPr>
          <w:p w14:paraId="26E6EC49" w14:textId="77777777" w:rsidR="00066EC8" w:rsidRDefault="00000000">
            <w:pPr>
              <w:pStyle w:val="Compact"/>
            </w:pPr>
            <w:r>
              <w:t>Status of Subscription</w:t>
            </w:r>
          </w:p>
        </w:tc>
        <w:tc>
          <w:tcPr>
            <w:tcW w:w="1584" w:type="dxa"/>
          </w:tcPr>
          <w:p w14:paraId="0403708F" w14:textId="77777777" w:rsidR="00066EC8" w:rsidRDefault="00000000">
            <w:pPr>
              <w:pStyle w:val="Compact"/>
            </w:pPr>
            <w:r>
              <w:t>The service provides a subscription status notification. This could indicate termination of subscription from the service provider side.</w:t>
            </w:r>
          </w:p>
        </w:tc>
        <w:tc>
          <w:tcPr>
            <w:tcW w:w="1584" w:type="dxa"/>
          </w:tcPr>
          <w:p w14:paraId="1301CEBB" w14:textId="77777777" w:rsidR="00066EC8" w:rsidRDefault="00000000">
            <w:pPr>
              <w:pStyle w:val="Compact"/>
            </w:pPr>
            <w:r>
              <w:t>F002, F003</w:t>
            </w:r>
          </w:p>
        </w:tc>
      </w:tr>
      <w:tr w:rsidR="00066EC8" w14:paraId="1602AD1E" w14:textId="77777777">
        <w:tc>
          <w:tcPr>
            <w:tcW w:w="1584" w:type="dxa"/>
          </w:tcPr>
          <w:p w14:paraId="794B9064" w14:textId="77777777" w:rsidR="00066EC8" w:rsidRDefault="00000000">
            <w:pPr>
              <w:pStyle w:val="Compact"/>
            </w:pPr>
            <w:r>
              <w:rPr>
                <w:b/>
                <w:bCs/>
              </w:rPr>
              <w:t>Functional</w:t>
            </w:r>
          </w:p>
        </w:tc>
        <w:tc>
          <w:tcPr>
            <w:tcW w:w="1584" w:type="dxa"/>
          </w:tcPr>
          <w:p w14:paraId="62EF336D" w14:textId="77777777" w:rsidR="00066EC8" w:rsidRDefault="00000000">
            <w:pPr>
              <w:pStyle w:val="Compact"/>
            </w:pPr>
            <w:r>
              <w:t>MS2-FR007</w:t>
            </w:r>
          </w:p>
        </w:tc>
        <w:tc>
          <w:tcPr>
            <w:tcW w:w="1584" w:type="dxa"/>
          </w:tcPr>
          <w:p w14:paraId="0D94DA68" w14:textId="77777777" w:rsidR="00066EC8" w:rsidRDefault="00000000">
            <w:pPr>
              <w:pStyle w:val="Compact"/>
            </w:pPr>
            <w:r>
              <w:t>Data Update Status</w:t>
            </w:r>
          </w:p>
        </w:tc>
        <w:tc>
          <w:tcPr>
            <w:tcW w:w="1584" w:type="dxa"/>
          </w:tcPr>
          <w:p w14:paraId="228B7A49" w14:textId="77777777" w:rsidR="00066EC8" w:rsidRDefault="00000000">
            <w:pPr>
              <w:pStyle w:val="Compact"/>
            </w:pPr>
            <w:r>
              <w:t>The service must be able to provide the users with the status of their respective subscriptions and whether the current dataset is the latest one, along with other relevant information.</w:t>
            </w:r>
          </w:p>
        </w:tc>
        <w:tc>
          <w:tcPr>
            <w:tcW w:w="1584" w:type="dxa"/>
          </w:tcPr>
          <w:p w14:paraId="5BDF0654" w14:textId="77777777" w:rsidR="00066EC8" w:rsidRDefault="00000000">
            <w:pPr>
              <w:pStyle w:val="Compact"/>
            </w:pPr>
            <w:r>
              <w:t>F002, F006</w:t>
            </w:r>
          </w:p>
        </w:tc>
      </w:tr>
      <w:tr w:rsidR="00066EC8" w14:paraId="7995EDF6" w14:textId="77777777">
        <w:tc>
          <w:tcPr>
            <w:tcW w:w="1584" w:type="dxa"/>
          </w:tcPr>
          <w:p w14:paraId="7FB82140" w14:textId="77777777" w:rsidR="00066EC8" w:rsidRDefault="00000000">
            <w:pPr>
              <w:pStyle w:val="Compact"/>
            </w:pPr>
            <w:r>
              <w:rPr>
                <w:b/>
                <w:bCs/>
              </w:rPr>
              <w:t>Functional</w:t>
            </w:r>
          </w:p>
        </w:tc>
        <w:tc>
          <w:tcPr>
            <w:tcW w:w="1584" w:type="dxa"/>
          </w:tcPr>
          <w:p w14:paraId="55E08DC8" w14:textId="77777777" w:rsidR="00066EC8" w:rsidRDefault="00000000">
            <w:pPr>
              <w:pStyle w:val="Compact"/>
            </w:pPr>
            <w:r>
              <w:t>MS2-FR008</w:t>
            </w:r>
          </w:p>
        </w:tc>
        <w:tc>
          <w:tcPr>
            <w:tcW w:w="1584" w:type="dxa"/>
          </w:tcPr>
          <w:p w14:paraId="22AC2379" w14:textId="77777777" w:rsidR="00066EC8" w:rsidRDefault="00000000">
            <w:pPr>
              <w:pStyle w:val="Compact"/>
            </w:pPr>
            <w:r>
              <w:t>Cancellation of Subscription</w:t>
            </w:r>
          </w:p>
        </w:tc>
        <w:tc>
          <w:tcPr>
            <w:tcW w:w="1584" w:type="dxa"/>
          </w:tcPr>
          <w:p w14:paraId="40D9AF6D" w14:textId="77777777" w:rsidR="00066EC8" w:rsidRDefault="00000000">
            <w:pPr>
              <w:pStyle w:val="Compact"/>
            </w:pPr>
            <w:r>
              <w:t>The service provides a facility to cancel the subscription.</w:t>
            </w:r>
          </w:p>
        </w:tc>
        <w:tc>
          <w:tcPr>
            <w:tcW w:w="1584" w:type="dxa"/>
          </w:tcPr>
          <w:p w14:paraId="7A2BB399" w14:textId="77777777" w:rsidR="00066EC8" w:rsidRDefault="00000000">
            <w:pPr>
              <w:pStyle w:val="Compact"/>
            </w:pPr>
            <w:r>
              <w:t>F004</w:t>
            </w:r>
          </w:p>
        </w:tc>
      </w:tr>
      <w:tr w:rsidR="00066EC8" w14:paraId="0108C931" w14:textId="77777777">
        <w:tc>
          <w:tcPr>
            <w:tcW w:w="1584" w:type="dxa"/>
          </w:tcPr>
          <w:p w14:paraId="07D70077" w14:textId="77777777" w:rsidR="00066EC8" w:rsidRDefault="00000000">
            <w:pPr>
              <w:pStyle w:val="Compact"/>
            </w:pPr>
            <w:r>
              <w:rPr>
                <w:b/>
                <w:bCs/>
              </w:rPr>
              <w:t>Functional</w:t>
            </w:r>
          </w:p>
        </w:tc>
        <w:tc>
          <w:tcPr>
            <w:tcW w:w="1584" w:type="dxa"/>
          </w:tcPr>
          <w:p w14:paraId="5E397FB7" w14:textId="77777777" w:rsidR="00066EC8" w:rsidRDefault="00000000">
            <w:pPr>
              <w:pStyle w:val="Compact"/>
            </w:pPr>
            <w:r>
              <w:t>MS2-FR009</w:t>
            </w:r>
          </w:p>
        </w:tc>
        <w:tc>
          <w:tcPr>
            <w:tcW w:w="1584" w:type="dxa"/>
          </w:tcPr>
          <w:p w14:paraId="5EE568F1" w14:textId="77777777" w:rsidR="00066EC8" w:rsidRDefault="00000000">
            <w:pPr>
              <w:pStyle w:val="Compact"/>
            </w:pPr>
            <w:r>
              <w:t>Data Validation Certificate</w:t>
            </w:r>
          </w:p>
        </w:tc>
        <w:tc>
          <w:tcPr>
            <w:tcW w:w="1584" w:type="dxa"/>
          </w:tcPr>
          <w:p w14:paraId="21F7E11C" w14:textId="77777777" w:rsidR="00066EC8" w:rsidRDefault="00000000">
            <w:pPr>
              <w:pStyle w:val="Compact"/>
            </w:pPr>
            <w:r>
              <w:t>The service can provide on demand the security certificate that was used to secure the data transmission.</w:t>
            </w:r>
          </w:p>
        </w:tc>
        <w:tc>
          <w:tcPr>
            <w:tcW w:w="1584" w:type="dxa"/>
          </w:tcPr>
          <w:p w14:paraId="3D83B6CE" w14:textId="77777777" w:rsidR="00066EC8" w:rsidRDefault="00000000">
            <w:pPr>
              <w:pStyle w:val="Compact"/>
            </w:pPr>
            <w:r>
              <w:t>F006, F009</w:t>
            </w:r>
          </w:p>
        </w:tc>
      </w:tr>
      <w:tr w:rsidR="00066EC8" w14:paraId="4602625C" w14:textId="77777777">
        <w:tc>
          <w:tcPr>
            <w:tcW w:w="1584" w:type="dxa"/>
          </w:tcPr>
          <w:p w14:paraId="491B13CC" w14:textId="77777777" w:rsidR="00066EC8" w:rsidRDefault="00000000">
            <w:pPr>
              <w:pStyle w:val="Compact"/>
            </w:pPr>
            <w:r>
              <w:rPr>
                <w:b/>
                <w:bCs/>
              </w:rPr>
              <w:t>Functional</w:t>
            </w:r>
          </w:p>
        </w:tc>
        <w:tc>
          <w:tcPr>
            <w:tcW w:w="1584" w:type="dxa"/>
          </w:tcPr>
          <w:p w14:paraId="2ED35F64" w14:textId="77777777" w:rsidR="00066EC8" w:rsidRDefault="00000000">
            <w:pPr>
              <w:pStyle w:val="Compact"/>
            </w:pPr>
            <w:r>
              <w:t>MS2-FR012</w:t>
            </w:r>
          </w:p>
        </w:tc>
        <w:tc>
          <w:tcPr>
            <w:tcW w:w="1584" w:type="dxa"/>
          </w:tcPr>
          <w:p w14:paraId="7DFF3BF1" w14:textId="77777777" w:rsidR="00066EC8" w:rsidRDefault="00000000">
            <w:pPr>
              <w:pStyle w:val="Compact"/>
            </w:pPr>
            <w:r>
              <w:t>Information Filtering</w:t>
            </w:r>
          </w:p>
        </w:tc>
        <w:tc>
          <w:tcPr>
            <w:tcW w:w="1584" w:type="dxa"/>
          </w:tcPr>
          <w:p w14:paraId="43AB8ABB" w14:textId="77777777" w:rsidR="00066EC8" w:rsidRDefault="00000000">
            <w:pPr>
              <w:pStyle w:val="Compact"/>
            </w:pPr>
            <w:r>
              <w:t>The end users can filter the relevant AtoN information by name or based on a point, line, polygon geometry, or receive the complete service content.</w:t>
            </w:r>
          </w:p>
        </w:tc>
        <w:tc>
          <w:tcPr>
            <w:tcW w:w="1584" w:type="dxa"/>
          </w:tcPr>
          <w:p w14:paraId="26F5FD47" w14:textId="77777777" w:rsidR="00066EC8" w:rsidRDefault="00000000">
            <w:pPr>
              <w:pStyle w:val="Compact"/>
            </w:pPr>
            <w:r>
              <w:t>F008</w:t>
            </w:r>
          </w:p>
        </w:tc>
      </w:tr>
      <w:tr w:rsidR="00066EC8" w14:paraId="77FDE542" w14:textId="77777777">
        <w:tc>
          <w:tcPr>
            <w:tcW w:w="1584" w:type="dxa"/>
          </w:tcPr>
          <w:p w14:paraId="64844DE5" w14:textId="77777777" w:rsidR="00066EC8" w:rsidRDefault="00000000">
            <w:pPr>
              <w:pStyle w:val="Compact"/>
            </w:pPr>
            <w:r>
              <w:rPr>
                <w:b/>
                <w:bCs/>
              </w:rPr>
              <w:t>Functional</w:t>
            </w:r>
          </w:p>
        </w:tc>
        <w:tc>
          <w:tcPr>
            <w:tcW w:w="1584" w:type="dxa"/>
          </w:tcPr>
          <w:p w14:paraId="42AD284D" w14:textId="77777777" w:rsidR="00066EC8" w:rsidRDefault="00000000">
            <w:pPr>
              <w:pStyle w:val="Compact"/>
            </w:pPr>
            <w:r>
              <w:t>MS2-FR013</w:t>
            </w:r>
          </w:p>
        </w:tc>
        <w:tc>
          <w:tcPr>
            <w:tcW w:w="1584" w:type="dxa"/>
          </w:tcPr>
          <w:p w14:paraId="07EFF136" w14:textId="77777777" w:rsidR="00066EC8" w:rsidRDefault="00000000">
            <w:pPr>
              <w:pStyle w:val="Compact"/>
            </w:pPr>
            <w:r>
              <w:t>Delivery Acknowledgement Request</w:t>
            </w:r>
          </w:p>
        </w:tc>
        <w:tc>
          <w:tcPr>
            <w:tcW w:w="1584" w:type="dxa"/>
          </w:tcPr>
          <w:p w14:paraId="1B0552ED" w14:textId="77777777" w:rsidR="00066EC8" w:rsidRDefault="00000000">
            <w:pPr>
              <w:pStyle w:val="Compact"/>
            </w:pPr>
            <w:r>
              <w:t xml:space="preserve">The service is able to request a data delivery acknowledgement for any end-user. The requested acknowledgement should support multiple levels </w:t>
            </w:r>
            <w:r>
              <w:lastRenderedPageBreak/>
              <w:t>(receiving, reading etc.)</w:t>
            </w:r>
          </w:p>
        </w:tc>
        <w:tc>
          <w:tcPr>
            <w:tcW w:w="1584" w:type="dxa"/>
          </w:tcPr>
          <w:p w14:paraId="364B0B51" w14:textId="77777777" w:rsidR="00066EC8" w:rsidRDefault="00000000">
            <w:pPr>
              <w:pStyle w:val="Compact"/>
            </w:pPr>
            <w:r>
              <w:lastRenderedPageBreak/>
              <w:t>F011</w:t>
            </w:r>
          </w:p>
        </w:tc>
      </w:tr>
      <w:tr w:rsidR="00066EC8" w14:paraId="6CAA52D6" w14:textId="77777777">
        <w:tc>
          <w:tcPr>
            <w:tcW w:w="1584" w:type="dxa"/>
          </w:tcPr>
          <w:p w14:paraId="62511614" w14:textId="77777777" w:rsidR="00066EC8" w:rsidRDefault="00000000">
            <w:pPr>
              <w:pStyle w:val="Compact"/>
            </w:pPr>
            <w:r>
              <w:rPr>
                <w:b/>
                <w:bCs/>
              </w:rPr>
              <w:t>Functional</w:t>
            </w:r>
          </w:p>
        </w:tc>
        <w:tc>
          <w:tcPr>
            <w:tcW w:w="1584" w:type="dxa"/>
          </w:tcPr>
          <w:p w14:paraId="5BC8D5E8" w14:textId="77777777" w:rsidR="00066EC8" w:rsidRDefault="00000000">
            <w:pPr>
              <w:pStyle w:val="Compact"/>
            </w:pPr>
            <w:r>
              <w:t>MS2-FR014</w:t>
            </w:r>
          </w:p>
        </w:tc>
        <w:tc>
          <w:tcPr>
            <w:tcW w:w="1584" w:type="dxa"/>
          </w:tcPr>
          <w:p w14:paraId="42C2FA8D" w14:textId="77777777" w:rsidR="00066EC8" w:rsidRDefault="00000000">
            <w:pPr>
              <w:pStyle w:val="Compact"/>
            </w:pPr>
            <w:r>
              <w:t>Delivery Acknowledgement Confirmation</w:t>
            </w:r>
          </w:p>
        </w:tc>
        <w:tc>
          <w:tcPr>
            <w:tcW w:w="1584" w:type="dxa"/>
          </w:tcPr>
          <w:p w14:paraId="4D12C1D2" w14:textId="77777777" w:rsidR="00066EC8" w:rsidRDefault="00000000">
            <w:pPr>
              <w:pStyle w:val="Compact"/>
            </w:pPr>
            <w:r>
              <w:t>The service provides a common but secure facility for all end-users to acknowledge the successful updates of AtoN information if requested.</w:t>
            </w:r>
          </w:p>
        </w:tc>
        <w:tc>
          <w:tcPr>
            <w:tcW w:w="1584" w:type="dxa"/>
          </w:tcPr>
          <w:p w14:paraId="63A283E2" w14:textId="77777777" w:rsidR="00066EC8" w:rsidRDefault="00000000">
            <w:pPr>
              <w:pStyle w:val="Compact"/>
            </w:pPr>
            <w:r>
              <w:t>F011</w:t>
            </w:r>
          </w:p>
        </w:tc>
      </w:tr>
      <w:tr w:rsidR="00066EC8" w14:paraId="4546448D" w14:textId="77777777">
        <w:tc>
          <w:tcPr>
            <w:tcW w:w="1584" w:type="dxa"/>
          </w:tcPr>
          <w:p w14:paraId="5D38BE7F" w14:textId="77777777" w:rsidR="00066EC8" w:rsidRDefault="00000000">
            <w:pPr>
              <w:pStyle w:val="Compact"/>
            </w:pPr>
            <w:r>
              <w:rPr>
                <w:b/>
                <w:bCs/>
              </w:rPr>
              <w:t>Functional</w:t>
            </w:r>
          </w:p>
        </w:tc>
        <w:tc>
          <w:tcPr>
            <w:tcW w:w="1584" w:type="dxa"/>
          </w:tcPr>
          <w:p w14:paraId="64F0F78F" w14:textId="77777777" w:rsidR="00066EC8" w:rsidRDefault="00000000">
            <w:pPr>
              <w:pStyle w:val="Compact"/>
            </w:pPr>
            <w:r>
              <w:t>MS2-FR015</w:t>
            </w:r>
          </w:p>
        </w:tc>
        <w:tc>
          <w:tcPr>
            <w:tcW w:w="1584" w:type="dxa"/>
          </w:tcPr>
          <w:p w14:paraId="0B561899" w14:textId="77777777" w:rsidR="00066EC8" w:rsidRDefault="00000000">
            <w:pPr>
              <w:pStyle w:val="Compact"/>
            </w:pPr>
            <w:r>
              <w:t>Subscription Updates</w:t>
            </w:r>
          </w:p>
        </w:tc>
        <w:tc>
          <w:tcPr>
            <w:tcW w:w="1584" w:type="dxa"/>
          </w:tcPr>
          <w:p w14:paraId="00FA4B6D" w14:textId="77777777" w:rsidR="00066EC8" w:rsidRDefault="00000000">
            <w:pPr>
              <w:pStyle w:val="Compact"/>
            </w:pPr>
            <w:r>
              <w:t>The service is able to identify and contact the subscribed end-users to push updates on the requested dataset(s).</w:t>
            </w:r>
          </w:p>
        </w:tc>
        <w:tc>
          <w:tcPr>
            <w:tcW w:w="1584" w:type="dxa"/>
          </w:tcPr>
          <w:p w14:paraId="1D2C3DA9" w14:textId="77777777" w:rsidR="00066EC8" w:rsidRDefault="00000000">
            <w:pPr>
              <w:pStyle w:val="Compact"/>
            </w:pPr>
            <w:r>
              <w:t>F012</w:t>
            </w:r>
          </w:p>
        </w:tc>
      </w:tr>
      <w:tr w:rsidR="00066EC8" w14:paraId="25403A68" w14:textId="77777777">
        <w:tc>
          <w:tcPr>
            <w:tcW w:w="1584" w:type="dxa"/>
          </w:tcPr>
          <w:p w14:paraId="33C0B77E" w14:textId="77777777" w:rsidR="00066EC8" w:rsidRDefault="00000000">
            <w:pPr>
              <w:pStyle w:val="Compact"/>
            </w:pPr>
            <w:r>
              <w:rPr>
                <w:b/>
                <w:bCs/>
              </w:rPr>
              <w:t>Functional</w:t>
            </w:r>
          </w:p>
        </w:tc>
        <w:tc>
          <w:tcPr>
            <w:tcW w:w="1584" w:type="dxa"/>
          </w:tcPr>
          <w:p w14:paraId="034C2BE7" w14:textId="77777777" w:rsidR="00066EC8" w:rsidRDefault="00000000">
            <w:pPr>
              <w:pStyle w:val="Compact"/>
            </w:pPr>
            <w:r>
              <w:t>MS2-FR016</w:t>
            </w:r>
          </w:p>
        </w:tc>
        <w:tc>
          <w:tcPr>
            <w:tcW w:w="1584" w:type="dxa"/>
          </w:tcPr>
          <w:p w14:paraId="1C3CE934" w14:textId="77777777" w:rsidR="00066EC8" w:rsidRDefault="00000000">
            <w:pPr>
              <w:pStyle w:val="Compact"/>
            </w:pPr>
            <w:r>
              <w:t>Input Automation</w:t>
            </w:r>
          </w:p>
        </w:tc>
        <w:tc>
          <w:tcPr>
            <w:tcW w:w="1584" w:type="dxa"/>
          </w:tcPr>
          <w:p w14:paraId="67CB30C7" w14:textId="77777777" w:rsidR="00066EC8" w:rsidRDefault="00000000">
            <w:pPr>
              <w:pStyle w:val="Compact"/>
            </w:pPr>
            <w:r>
              <w:t>The service updates the advertised datasets, based on the AtoN status updates received.</w:t>
            </w:r>
          </w:p>
        </w:tc>
        <w:tc>
          <w:tcPr>
            <w:tcW w:w="1584" w:type="dxa"/>
          </w:tcPr>
          <w:p w14:paraId="791B3EAC" w14:textId="77777777" w:rsidR="00066EC8" w:rsidRDefault="00000000">
            <w:pPr>
              <w:pStyle w:val="Compact"/>
            </w:pPr>
            <w:r>
              <w:t>F013</w:t>
            </w:r>
          </w:p>
        </w:tc>
      </w:tr>
      <w:tr w:rsidR="00066EC8" w14:paraId="1D78A2A8" w14:textId="77777777">
        <w:tc>
          <w:tcPr>
            <w:tcW w:w="1584" w:type="dxa"/>
          </w:tcPr>
          <w:p w14:paraId="2C0D6D3E" w14:textId="77777777" w:rsidR="00066EC8" w:rsidRDefault="00000000">
            <w:pPr>
              <w:pStyle w:val="Compact"/>
            </w:pPr>
            <w:r>
              <w:rPr>
                <w:b/>
                <w:bCs/>
              </w:rPr>
              <w:t>Functional</w:t>
            </w:r>
          </w:p>
        </w:tc>
        <w:tc>
          <w:tcPr>
            <w:tcW w:w="1584" w:type="dxa"/>
          </w:tcPr>
          <w:p w14:paraId="1A24A59D" w14:textId="77777777" w:rsidR="00066EC8" w:rsidRDefault="00000000">
            <w:pPr>
              <w:pStyle w:val="Compact"/>
            </w:pPr>
            <w:r>
              <w:t>MS2-FR017</w:t>
            </w:r>
          </w:p>
        </w:tc>
        <w:tc>
          <w:tcPr>
            <w:tcW w:w="1584" w:type="dxa"/>
          </w:tcPr>
          <w:p w14:paraId="0AF23375" w14:textId="77777777" w:rsidR="00066EC8" w:rsidRDefault="00000000">
            <w:pPr>
              <w:pStyle w:val="Compact"/>
            </w:pPr>
            <w:r>
              <w:t>End-User Precision Tailoring</w:t>
            </w:r>
          </w:p>
        </w:tc>
        <w:tc>
          <w:tcPr>
            <w:tcW w:w="1584" w:type="dxa"/>
          </w:tcPr>
          <w:p w14:paraId="08ACC48F" w14:textId="77777777" w:rsidR="00066EC8" w:rsidRDefault="00000000">
            <w:pPr>
              <w:pStyle w:val="Compact"/>
            </w:pPr>
            <w:r>
              <w:t>The service is able to supply AtoN information with certain details (e.g. precision of decimal points) tailored to the corresponding end-user.</w:t>
            </w:r>
          </w:p>
        </w:tc>
        <w:tc>
          <w:tcPr>
            <w:tcW w:w="1584" w:type="dxa"/>
          </w:tcPr>
          <w:p w14:paraId="66FD4623" w14:textId="77777777" w:rsidR="00066EC8" w:rsidRDefault="00000000">
            <w:pPr>
              <w:pStyle w:val="Compact"/>
            </w:pPr>
            <w:r>
              <w:t>F010, F018</w:t>
            </w:r>
          </w:p>
        </w:tc>
      </w:tr>
      <w:tr w:rsidR="00066EC8" w14:paraId="551CC5C6" w14:textId="77777777">
        <w:tc>
          <w:tcPr>
            <w:tcW w:w="1584" w:type="dxa"/>
          </w:tcPr>
          <w:p w14:paraId="3804B6C3" w14:textId="77777777" w:rsidR="00066EC8" w:rsidRDefault="00000000">
            <w:pPr>
              <w:pStyle w:val="Compact"/>
            </w:pPr>
            <w:r>
              <w:rPr>
                <w:b/>
                <w:bCs/>
              </w:rPr>
              <w:t>Functional</w:t>
            </w:r>
          </w:p>
        </w:tc>
        <w:tc>
          <w:tcPr>
            <w:tcW w:w="1584" w:type="dxa"/>
          </w:tcPr>
          <w:p w14:paraId="27E4255E" w14:textId="77777777" w:rsidR="00066EC8" w:rsidRDefault="00000000">
            <w:pPr>
              <w:pStyle w:val="Compact"/>
            </w:pPr>
            <w:r>
              <w:t>MS2-FR018</w:t>
            </w:r>
          </w:p>
        </w:tc>
        <w:tc>
          <w:tcPr>
            <w:tcW w:w="1584" w:type="dxa"/>
          </w:tcPr>
          <w:p w14:paraId="767A4868" w14:textId="77777777" w:rsidR="00066EC8" w:rsidRDefault="00000000">
            <w:pPr>
              <w:pStyle w:val="Compact"/>
            </w:pPr>
            <w:r>
              <w:t>Change Log</w:t>
            </w:r>
          </w:p>
        </w:tc>
        <w:tc>
          <w:tcPr>
            <w:tcW w:w="1584" w:type="dxa"/>
          </w:tcPr>
          <w:p w14:paraId="4C38C600" w14:textId="77777777" w:rsidR="00066EC8" w:rsidRDefault="00000000">
            <w:pPr>
              <w:pStyle w:val="Compact"/>
            </w:pPr>
            <w:r>
              <w:t>The service allows data producers to track the record of changes to the advertised dataset(s) for any time interval required.</w:t>
            </w:r>
          </w:p>
        </w:tc>
        <w:tc>
          <w:tcPr>
            <w:tcW w:w="1584" w:type="dxa"/>
          </w:tcPr>
          <w:p w14:paraId="3910D088" w14:textId="77777777" w:rsidR="00066EC8" w:rsidRDefault="00000000">
            <w:pPr>
              <w:pStyle w:val="Compact"/>
            </w:pPr>
            <w:r>
              <w:t>F015</w:t>
            </w:r>
          </w:p>
        </w:tc>
      </w:tr>
      <w:tr w:rsidR="00066EC8" w14:paraId="13964620" w14:textId="77777777">
        <w:tc>
          <w:tcPr>
            <w:tcW w:w="1584" w:type="dxa"/>
          </w:tcPr>
          <w:p w14:paraId="4BDC2B00" w14:textId="77777777" w:rsidR="00066EC8" w:rsidRDefault="00000000">
            <w:pPr>
              <w:pStyle w:val="Compact"/>
            </w:pPr>
            <w:r>
              <w:rPr>
                <w:b/>
                <w:bCs/>
              </w:rPr>
              <w:t>Functional</w:t>
            </w:r>
          </w:p>
        </w:tc>
        <w:tc>
          <w:tcPr>
            <w:tcW w:w="1584" w:type="dxa"/>
          </w:tcPr>
          <w:p w14:paraId="586A7252" w14:textId="77777777" w:rsidR="00066EC8" w:rsidRDefault="00000000">
            <w:pPr>
              <w:pStyle w:val="Compact"/>
            </w:pPr>
            <w:r>
              <w:t>MS2-FR019</w:t>
            </w:r>
          </w:p>
        </w:tc>
        <w:tc>
          <w:tcPr>
            <w:tcW w:w="1584" w:type="dxa"/>
          </w:tcPr>
          <w:p w14:paraId="06B08D08" w14:textId="77777777" w:rsidR="00066EC8" w:rsidRDefault="00000000">
            <w:pPr>
              <w:pStyle w:val="Compact"/>
            </w:pPr>
            <w:r>
              <w:t>Change Log State</w:t>
            </w:r>
          </w:p>
        </w:tc>
        <w:tc>
          <w:tcPr>
            <w:tcW w:w="1584" w:type="dxa"/>
          </w:tcPr>
          <w:p w14:paraId="3E1F2C32" w14:textId="77777777" w:rsidR="00066EC8" w:rsidRDefault="00000000">
            <w:pPr>
              <w:pStyle w:val="Compact"/>
            </w:pPr>
            <w:r>
              <w:t>The service allows data producers to view the full state of the AtoN Information as provided to consumers at any past point in time.</w:t>
            </w:r>
          </w:p>
        </w:tc>
        <w:tc>
          <w:tcPr>
            <w:tcW w:w="1584" w:type="dxa"/>
          </w:tcPr>
          <w:p w14:paraId="4CEF4E29" w14:textId="77777777" w:rsidR="00066EC8" w:rsidRDefault="00000000">
            <w:pPr>
              <w:pStyle w:val="Compact"/>
            </w:pPr>
            <w:r>
              <w:t>F015</w:t>
            </w:r>
          </w:p>
        </w:tc>
      </w:tr>
    </w:tbl>
    <w:bookmarkEnd w:id="30"/>
    <w:p w14:paraId="070CFB31" w14:textId="77777777" w:rsidR="00066EC8" w:rsidRDefault="00000000">
      <w:pPr>
        <w:pStyle w:val="BodyText"/>
      </w:pPr>
      <w:r>
        <w:t>The table below defines non-functional requirements for the S-125 service, as these are defined in the IALA documentation for the IMO MS-2 Aids to Navigation Maritime Service [2]. Please note that the feature identifiers referenced in Table 3, are also referring to service features identified in the IALA MS-2 specification document.</w:t>
      </w:r>
    </w:p>
    <w:p w14:paraId="180D37CF" w14:textId="77777777" w:rsidR="00066EC8" w:rsidRDefault="00000000">
      <w:pPr>
        <w:pStyle w:val="TableCaption"/>
      </w:pPr>
      <w:bookmarkStart w:id="36" w:name="tbl:ms2-non-functional-requirements"/>
      <w:bookmarkStart w:id="37" w:name="_Toc225158437"/>
      <w:r>
        <w:lastRenderedPageBreak/>
        <w:t>Non-Functional Requirements for the MS-2 – Aids to Navigation Service.</w:t>
      </w:r>
      <w:bookmarkEnd w:id="37"/>
    </w:p>
    <w:tbl>
      <w:tblPr>
        <w:tblStyle w:val="Table"/>
        <w:tblW w:w="5000" w:type="pct"/>
        <w:tblLayout w:type="fixed"/>
        <w:tblLook w:val="0020" w:firstRow="1" w:lastRow="0" w:firstColumn="0" w:lastColumn="0" w:noHBand="0" w:noVBand="0"/>
        <w:tblCaption w:val="Non-Functional Requirements for the MS-2 – Aids to Navigation Service."/>
      </w:tblPr>
      <w:tblGrid>
        <w:gridCol w:w="2039"/>
        <w:gridCol w:w="2039"/>
        <w:gridCol w:w="2039"/>
        <w:gridCol w:w="2039"/>
        <w:gridCol w:w="2039"/>
      </w:tblGrid>
      <w:tr w:rsidR="00066EC8" w14:paraId="41ADA415" w14:textId="77777777">
        <w:trPr>
          <w:cnfStyle w:val="100000000000" w:firstRow="1" w:lastRow="0" w:firstColumn="0" w:lastColumn="0" w:oddVBand="0" w:evenVBand="0" w:oddHBand="0" w:evenHBand="0" w:firstRowFirstColumn="0" w:firstRowLastColumn="0" w:lastRowFirstColumn="0" w:lastRowLastColumn="0"/>
          <w:tblHeader/>
        </w:trPr>
        <w:tc>
          <w:tcPr>
            <w:tcW w:w="1584" w:type="dxa"/>
          </w:tcPr>
          <w:p w14:paraId="4E22ABBB" w14:textId="77777777" w:rsidR="00066EC8" w:rsidRDefault="00000000">
            <w:pPr>
              <w:pStyle w:val="Compact"/>
            </w:pPr>
            <w:r>
              <w:t>Requirement Type</w:t>
            </w:r>
          </w:p>
        </w:tc>
        <w:tc>
          <w:tcPr>
            <w:tcW w:w="1584" w:type="dxa"/>
          </w:tcPr>
          <w:p w14:paraId="2323133B" w14:textId="77777777" w:rsidR="00066EC8" w:rsidRDefault="00000000">
            <w:pPr>
              <w:pStyle w:val="Compact"/>
            </w:pPr>
            <w:r>
              <w:t>Requirement ID</w:t>
            </w:r>
          </w:p>
        </w:tc>
        <w:tc>
          <w:tcPr>
            <w:tcW w:w="1584" w:type="dxa"/>
          </w:tcPr>
          <w:p w14:paraId="13A5804C" w14:textId="77777777" w:rsidR="00066EC8" w:rsidRDefault="00000000">
            <w:pPr>
              <w:pStyle w:val="Compact"/>
            </w:pPr>
            <w:r>
              <w:t>Requirement Name</w:t>
            </w:r>
          </w:p>
        </w:tc>
        <w:tc>
          <w:tcPr>
            <w:tcW w:w="1584" w:type="dxa"/>
          </w:tcPr>
          <w:p w14:paraId="4F37B07C" w14:textId="77777777" w:rsidR="00066EC8" w:rsidRDefault="00000000">
            <w:pPr>
              <w:pStyle w:val="Compact"/>
            </w:pPr>
            <w:r>
              <w:t>Requirement Text</w:t>
            </w:r>
          </w:p>
        </w:tc>
        <w:tc>
          <w:tcPr>
            <w:tcW w:w="1584" w:type="dxa"/>
          </w:tcPr>
          <w:p w14:paraId="267A6CD3" w14:textId="77777777" w:rsidR="00066EC8" w:rsidRDefault="00000000">
            <w:pPr>
              <w:pStyle w:val="Compact"/>
            </w:pPr>
            <w:r>
              <w:t>Feature Identifier</w:t>
            </w:r>
          </w:p>
        </w:tc>
      </w:tr>
      <w:tr w:rsidR="00066EC8" w14:paraId="096C109E" w14:textId="77777777">
        <w:tc>
          <w:tcPr>
            <w:tcW w:w="1584" w:type="dxa"/>
          </w:tcPr>
          <w:p w14:paraId="3D7C93C5" w14:textId="77777777" w:rsidR="00066EC8" w:rsidRDefault="00000000">
            <w:pPr>
              <w:pStyle w:val="Compact"/>
            </w:pPr>
            <w:r>
              <w:rPr>
                <w:b/>
                <w:bCs/>
              </w:rPr>
              <w:t>Non-functional</w:t>
            </w:r>
          </w:p>
        </w:tc>
        <w:tc>
          <w:tcPr>
            <w:tcW w:w="1584" w:type="dxa"/>
          </w:tcPr>
          <w:p w14:paraId="6F3DB3BF" w14:textId="77777777" w:rsidR="00066EC8" w:rsidRDefault="00000000">
            <w:pPr>
              <w:pStyle w:val="Compact"/>
            </w:pPr>
            <w:r>
              <w:t>MS2-NFR001</w:t>
            </w:r>
          </w:p>
        </w:tc>
        <w:tc>
          <w:tcPr>
            <w:tcW w:w="1584" w:type="dxa"/>
          </w:tcPr>
          <w:p w14:paraId="2D2595A8" w14:textId="77777777" w:rsidR="00066EC8" w:rsidRDefault="00000000">
            <w:pPr>
              <w:pStyle w:val="Compact"/>
            </w:pPr>
            <w:r>
              <w:t>Authorization</w:t>
            </w:r>
          </w:p>
        </w:tc>
        <w:tc>
          <w:tcPr>
            <w:tcW w:w="1584" w:type="dxa"/>
          </w:tcPr>
          <w:p w14:paraId="15EB1DD5" w14:textId="77777777" w:rsidR="00066EC8" w:rsidRDefault="00000000">
            <w:pPr>
              <w:pStyle w:val="Compact"/>
            </w:pPr>
            <w:r>
              <w:t>Service consumers are authorized by the provider for reception of data by the service. This may be public authorization (everyone has access), or limited authorization associated with a transactional service</w:t>
            </w:r>
          </w:p>
        </w:tc>
        <w:tc>
          <w:tcPr>
            <w:tcW w:w="1584" w:type="dxa"/>
          </w:tcPr>
          <w:p w14:paraId="77E43903" w14:textId="77777777" w:rsidR="00066EC8" w:rsidRDefault="00000000">
            <w:pPr>
              <w:pStyle w:val="Compact"/>
            </w:pPr>
            <w:r>
              <w:t>F010, F016, F017</w:t>
            </w:r>
          </w:p>
        </w:tc>
      </w:tr>
      <w:tr w:rsidR="00066EC8" w14:paraId="7426638E" w14:textId="77777777">
        <w:tc>
          <w:tcPr>
            <w:tcW w:w="1584" w:type="dxa"/>
          </w:tcPr>
          <w:p w14:paraId="11C63FDD" w14:textId="77777777" w:rsidR="00066EC8" w:rsidRDefault="00000000">
            <w:pPr>
              <w:pStyle w:val="Compact"/>
            </w:pPr>
            <w:r>
              <w:rPr>
                <w:b/>
                <w:bCs/>
              </w:rPr>
              <w:t>Non-functional</w:t>
            </w:r>
          </w:p>
        </w:tc>
        <w:tc>
          <w:tcPr>
            <w:tcW w:w="1584" w:type="dxa"/>
          </w:tcPr>
          <w:p w14:paraId="7D8CB92E" w14:textId="77777777" w:rsidR="00066EC8" w:rsidRDefault="00000000">
            <w:pPr>
              <w:pStyle w:val="Compact"/>
            </w:pPr>
            <w:r>
              <w:t>MS2-NFR002</w:t>
            </w:r>
          </w:p>
        </w:tc>
        <w:tc>
          <w:tcPr>
            <w:tcW w:w="1584" w:type="dxa"/>
          </w:tcPr>
          <w:p w14:paraId="1AA906E2" w14:textId="77777777" w:rsidR="00066EC8" w:rsidRDefault="00000000">
            <w:pPr>
              <w:pStyle w:val="Compact"/>
            </w:pPr>
            <w:r>
              <w:t>Authenticity</w:t>
            </w:r>
          </w:p>
        </w:tc>
        <w:tc>
          <w:tcPr>
            <w:tcW w:w="1584" w:type="dxa"/>
          </w:tcPr>
          <w:p w14:paraId="6179D89A" w14:textId="77777777" w:rsidR="00066EC8" w:rsidRDefault="00000000">
            <w:pPr>
              <w:pStyle w:val="Compact"/>
            </w:pPr>
            <w:r>
              <w:t>Service consumers can verify independently the authenticity of the AtoN information transmitted to them.</w:t>
            </w:r>
          </w:p>
        </w:tc>
        <w:tc>
          <w:tcPr>
            <w:tcW w:w="1584" w:type="dxa"/>
          </w:tcPr>
          <w:p w14:paraId="1A77773F" w14:textId="77777777" w:rsidR="00066EC8" w:rsidRDefault="00000000">
            <w:pPr>
              <w:pStyle w:val="Compact"/>
            </w:pPr>
            <w:r>
              <w:t>F006, F009</w:t>
            </w:r>
          </w:p>
        </w:tc>
      </w:tr>
      <w:tr w:rsidR="00066EC8" w14:paraId="43BD59CF" w14:textId="77777777">
        <w:tc>
          <w:tcPr>
            <w:tcW w:w="1584" w:type="dxa"/>
          </w:tcPr>
          <w:p w14:paraId="7FC63D36" w14:textId="77777777" w:rsidR="00066EC8" w:rsidRDefault="00000000">
            <w:pPr>
              <w:pStyle w:val="Compact"/>
            </w:pPr>
            <w:r>
              <w:rPr>
                <w:b/>
                <w:bCs/>
              </w:rPr>
              <w:t>Non-functional</w:t>
            </w:r>
          </w:p>
        </w:tc>
        <w:tc>
          <w:tcPr>
            <w:tcW w:w="1584" w:type="dxa"/>
          </w:tcPr>
          <w:p w14:paraId="73273FEB" w14:textId="77777777" w:rsidR="00066EC8" w:rsidRDefault="00000000">
            <w:pPr>
              <w:pStyle w:val="Compact"/>
            </w:pPr>
            <w:r>
              <w:t>MS2-NFR003</w:t>
            </w:r>
          </w:p>
        </w:tc>
        <w:tc>
          <w:tcPr>
            <w:tcW w:w="1584" w:type="dxa"/>
          </w:tcPr>
          <w:p w14:paraId="43CC0B96" w14:textId="77777777" w:rsidR="00066EC8" w:rsidRDefault="00000000">
            <w:pPr>
              <w:pStyle w:val="Compact"/>
            </w:pPr>
            <w:r>
              <w:t>Integrity</w:t>
            </w:r>
          </w:p>
        </w:tc>
        <w:tc>
          <w:tcPr>
            <w:tcW w:w="1584" w:type="dxa"/>
          </w:tcPr>
          <w:p w14:paraId="05E56505" w14:textId="77777777" w:rsidR="00066EC8" w:rsidRDefault="00000000">
            <w:pPr>
              <w:pStyle w:val="Compact"/>
            </w:pPr>
            <w:r>
              <w:t>It is clear to both service provider and consumer whether changes have been made to the AtoN information after this was created.</w:t>
            </w:r>
          </w:p>
        </w:tc>
        <w:tc>
          <w:tcPr>
            <w:tcW w:w="1584" w:type="dxa"/>
          </w:tcPr>
          <w:p w14:paraId="4C611708" w14:textId="77777777" w:rsidR="00066EC8" w:rsidRDefault="00000000">
            <w:pPr>
              <w:pStyle w:val="Compact"/>
            </w:pPr>
            <w:r>
              <w:t>F006, F009</w:t>
            </w:r>
          </w:p>
        </w:tc>
      </w:tr>
      <w:tr w:rsidR="00066EC8" w14:paraId="5AC4BD2B" w14:textId="77777777">
        <w:tc>
          <w:tcPr>
            <w:tcW w:w="1584" w:type="dxa"/>
          </w:tcPr>
          <w:p w14:paraId="522B341D" w14:textId="77777777" w:rsidR="00066EC8" w:rsidRDefault="00000000">
            <w:pPr>
              <w:pStyle w:val="Compact"/>
            </w:pPr>
            <w:r>
              <w:rPr>
                <w:b/>
                <w:bCs/>
              </w:rPr>
              <w:t>Non-functional</w:t>
            </w:r>
          </w:p>
        </w:tc>
        <w:tc>
          <w:tcPr>
            <w:tcW w:w="1584" w:type="dxa"/>
          </w:tcPr>
          <w:p w14:paraId="5E7B152C" w14:textId="77777777" w:rsidR="00066EC8" w:rsidRDefault="00000000">
            <w:pPr>
              <w:pStyle w:val="Compact"/>
            </w:pPr>
            <w:r>
              <w:t>MS2-NFR004</w:t>
            </w:r>
          </w:p>
        </w:tc>
        <w:tc>
          <w:tcPr>
            <w:tcW w:w="1584" w:type="dxa"/>
          </w:tcPr>
          <w:p w14:paraId="32E8349E" w14:textId="77777777" w:rsidR="00066EC8" w:rsidRDefault="00000000">
            <w:pPr>
              <w:pStyle w:val="Compact"/>
            </w:pPr>
            <w:r>
              <w:t>Availability</w:t>
            </w:r>
          </w:p>
        </w:tc>
        <w:tc>
          <w:tcPr>
            <w:tcW w:w="1584" w:type="dxa"/>
          </w:tcPr>
          <w:p w14:paraId="11376000" w14:textId="77777777" w:rsidR="00066EC8" w:rsidRDefault="00000000">
            <w:pPr>
              <w:pStyle w:val="Compact"/>
            </w:pPr>
            <w:r>
              <w:t>The service is consistently available in its ability to deliver AtoN Information to its consumers. (i.e. Service should have a high availability)</w:t>
            </w:r>
          </w:p>
        </w:tc>
        <w:tc>
          <w:tcPr>
            <w:tcW w:w="1584" w:type="dxa"/>
          </w:tcPr>
          <w:p w14:paraId="146AA83C" w14:textId="77777777" w:rsidR="00066EC8" w:rsidRDefault="00000000">
            <w:pPr>
              <w:pStyle w:val="Compact"/>
            </w:pPr>
            <w:r>
              <w:t>F001, F002, F004, F005, F011, F013</w:t>
            </w:r>
          </w:p>
        </w:tc>
      </w:tr>
      <w:tr w:rsidR="00066EC8" w14:paraId="6929E7FB" w14:textId="77777777">
        <w:tc>
          <w:tcPr>
            <w:tcW w:w="1584" w:type="dxa"/>
          </w:tcPr>
          <w:p w14:paraId="4899FD60" w14:textId="77777777" w:rsidR="00066EC8" w:rsidRDefault="00000000">
            <w:pPr>
              <w:pStyle w:val="Compact"/>
            </w:pPr>
            <w:r>
              <w:rPr>
                <w:b/>
                <w:bCs/>
              </w:rPr>
              <w:t>Non-functional</w:t>
            </w:r>
          </w:p>
        </w:tc>
        <w:tc>
          <w:tcPr>
            <w:tcW w:w="1584" w:type="dxa"/>
          </w:tcPr>
          <w:p w14:paraId="569A3526" w14:textId="77777777" w:rsidR="00066EC8" w:rsidRDefault="00000000">
            <w:pPr>
              <w:pStyle w:val="Compact"/>
            </w:pPr>
            <w:r>
              <w:t>MS2-NFR005</w:t>
            </w:r>
          </w:p>
        </w:tc>
        <w:tc>
          <w:tcPr>
            <w:tcW w:w="1584" w:type="dxa"/>
          </w:tcPr>
          <w:p w14:paraId="74F5D482" w14:textId="77777777" w:rsidR="00066EC8" w:rsidRDefault="00000000">
            <w:pPr>
              <w:pStyle w:val="Compact"/>
            </w:pPr>
            <w:r>
              <w:t>Responsiveness</w:t>
            </w:r>
          </w:p>
        </w:tc>
        <w:tc>
          <w:tcPr>
            <w:tcW w:w="1584" w:type="dxa"/>
          </w:tcPr>
          <w:p w14:paraId="15E67A09" w14:textId="77777777" w:rsidR="00066EC8" w:rsidRDefault="00000000">
            <w:pPr>
              <w:pStyle w:val="Compact"/>
            </w:pPr>
            <w:r>
              <w:t>The service provides a response to a service consumer’s request without delay, and the data provided should be (near) real time.</w:t>
            </w:r>
          </w:p>
        </w:tc>
        <w:tc>
          <w:tcPr>
            <w:tcW w:w="1584" w:type="dxa"/>
          </w:tcPr>
          <w:p w14:paraId="45E47A05" w14:textId="77777777" w:rsidR="00066EC8" w:rsidRDefault="00000000">
            <w:pPr>
              <w:pStyle w:val="Compact"/>
            </w:pPr>
            <w:r>
              <w:t>F001, F002, F011, F016</w:t>
            </w:r>
          </w:p>
        </w:tc>
      </w:tr>
      <w:tr w:rsidR="00066EC8" w14:paraId="3FB2C415" w14:textId="77777777">
        <w:tc>
          <w:tcPr>
            <w:tcW w:w="1584" w:type="dxa"/>
          </w:tcPr>
          <w:p w14:paraId="07B5840B" w14:textId="77777777" w:rsidR="00066EC8" w:rsidRDefault="00000000">
            <w:pPr>
              <w:pStyle w:val="Compact"/>
            </w:pPr>
            <w:r>
              <w:rPr>
                <w:b/>
                <w:bCs/>
              </w:rPr>
              <w:t>Non-functional</w:t>
            </w:r>
          </w:p>
        </w:tc>
        <w:tc>
          <w:tcPr>
            <w:tcW w:w="1584" w:type="dxa"/>
          </w:tcPr>
          <w:p w14:paraId="59975723" w14:textId="77777777" w:rsidR="00066EC8" w:rsidRDefault="00000000">
            <w:pPr>
              <w:pStyle w:val="Compact"/>
            </w:pPr>
            <w:r>
              <w:t>MS2-NFR006</w:t>
            </w:r>
          </w:p>
        </w:tc>
        <w:tc>
          <w:tcPr>
            <w:tcW w:w="1584" w:type="dxa"/>
          </w:tcPr>
          <w:p w14:paraId="1DF6BBF3" w14:textId="77777777" w:rsidR="00066EC8" w:rsidRDefault="00000000">
            <w:pPr>
              <w:pStyle w:val="Compact"/>
            </w:pPr>
            <w:r>
              <w:t>Performance</w:t>
            </w:r>
          </w:p>
        </w:tc>
        <w:tc>
          <w:tcPr>
            <w:tcW w:w="1584" w:type="dxa"/>
          </w:tcPr>
          <w:p w14:paraId="1D9511C7" w14:textId="77777777" w:rsidR="00066EC8" w:rsidRDefault="00000000">
            <w:pPr>
              <w:pStyle w:val="Compact"/>
            </w:pPr>
            <w:r>
              <w:t>The service can handle multiple requests simultaneously (e.g. 1000/sec).</w:t>
            </w:r>
          </w:p>
        </w:tc>
        <w:tc>
          <w:tcPr>
            <w:tcW w:w="1584" w:type="dxa"/>
          </w:tcPr>
          <w:p w14:paraId="7AD7B11E" w14:textId="77777777" w:rsidR="00066EC8" w:rsidRDefault="00000000">
            <w:pPr>
              <w:pStyle w:val="Compact"/>
            </w:pPr>
            <w:r>
              <w:t>F001, F010, F012</w:t>
            </w:r>
          </w:p>
        </w:tc>
      </w:tr>
      <w:tr w:rsidR="00066EC8" w14:paraId="79F3C641" w14:textId="77777777">
        <w:tc>
          <w:tcPr>
            <w:tcW w:w="1584" w:type="dxa"/>
          </w:tcPr>
          <w:p w14:paraId="481940F4" w14:textId="77777777" w:rsidR="00066EC8" w:rsidRDefault="00000000">
            <w:pPr>
              <w:pStyle w:val="Compact"/>
            </w:pPr>
            <w:r>
              <w:rPr>
                <w:b/>
                <w:bCs/>
              </w:rPr>
              <w:t>Non-functional</w:t>
            </w:r>
          </w:p>
        </w:tc>
        <w:tc>
          <w:tcPr>
            <w:tcW w:w="1584" w:type="dxa"/>
          </w:tcPr>
          <w:p w14:paraId="0BDDBCFE" w14:textId="77777777" w:rsidR="00066EC8" w:rsidRDefault="00000000">
            <w:pPr>
              <w:pStyle w:val="Compact"/>
            </w:pPr>
            <w:r>
              <w:t>MS2-NFR007</w:t>
            </w:r>
          </w:p>
        </w:tc>
        <w:tc>
          <w:tcPr>
            <w:tcW w:w="1584" w:type="dxa"/>
          </w:tcPr>
          <w:p w14:paraId="54A80269" w14:textId="77777777" w:rsidR="00066EC8" w:rsidRDefault="00000000">
            <w:pPr>
              <w:pStyle w:val="Compact"/>
            </w:pPr>
            <w:r>
              <w:t>Portability</w:t>
            </w:r>
          </w:p>
        </w:tc>
        <w:tc>
          <w:tcPr>
            <w:tcW w:w="1584" w:type="dxa"/>
          </w:tcPr>
          <w:p w14:paraId="4C716171" w14:textId="77777777" w:rsidR="00066EC8" w:rsidRDefault="00000000">
            <w:pPr>
              <w:pStyle w:val="Compact"/>
            </w:pPr>
            <w:r>
              <w:t>The service makes the data available in portable machine-readable formats (e.g. XML/JSON)</w:t>
            </w:r>
          </w:p>
        </w:tc>
        <w:tc>
          <w:tcPr>
            <w:tcW w:w="1584" w:type="dxa"/>
          </w:tcPr>
          <w:p w14:paraId="34B40A16" w14:textId="77777777" w:rsidR="00066EC8" w:rsidRDefault="00000000">
            <w:pPr>
              <w:pStyle w:val="Compact"/>
            </w:pPr>
            <w:r>
              <w:t>F014</w:t>
            </w:r>
          </w:p>
        </w:tc>
      </w:tr>
      <w:tr w:rsidR="00066EC8" w14:paraId="2294B02D" w14:textId="77777777">
        <w:tc>
          <w:tcPr>
            <w:tcW w:w="1584" w:type="dxa"/>
          </w:tcPr>
          <w:p w14:paraId="1809AAC5" w14:textId="77777777" w:rsidR="00066EC8" w:rsidRDefault="00000000">
            <w:pPr>
              <w:pStyle w:val="Compact"/>
            </w:pPr>
            <w:r>
              <w:rPr>
                <w:b/>
                <w:bCs/>
              </w:rPr>
              <w:t>Non-functional</w:t>
            </w:r>
          </w:p>
        </w:tc>
        <w:tc>
          <w:tcPr>
            <w:tcW w:w="1584" w:type="dxa"/>
          </w:tcPr>
          <w:p w14:paraId="45E9047C" w14:textId="77777777" w:rsidR="00066EC8" w:rsidRDefault="00000000">
            <w:pPr>
              <w:pStyle w:val="Compact"/>
            </w:pPr>
            <w:r>
              <w:t>MS2-NFR008</w:t>
            </w:r>
          </w:p>
        </w:tc>
        <w:tc>
          <w:tcPr>
            <w:tcW w:w="1584" w:type="dxa"/>
          </w:tcPr>
          <w:p w14:paraId="175DD660" w14:textId="77777777" w:rsidR="00066EC8" w:rsidRDefault="00000000">
            <w:pPr>
              <w:pStyle w:val="Compact"/>
            </w:pPr>
            <w:r>
              <w:t>Compression</w:t>
            </w:r>
          </w:p>
        </w:tc>
        <w:tc>
          <w:tcPr>
            <w:tcW w:w="1584" w:type="dxa"/>
          </w:tcPr>
          <w:p w14:paraId="05F5E5BD" w14:textId="77777777" w:rsidR="00066EC8" w:rsidRDefault="00000000">
            <w:pPr>
              <w:pStyle w:val="Compact"/>
            </w:pPr>
            <w:r>
              <w:t xml:space="preserve">The service is able transmit the data in </w:t>
            </w:r>
            <w:r>
              <w:lastRenderedPageBreak/>
              <w:t>compressed format, with the compression method (e.g., gzip) clearly indicated.</w:t>
            </w:r>
          </w:p>
        </w:tc>
        <w:tc>
          <w:tcPr>
            <w:tcW w:w="1584" w:type="dxa"/>
          </w:tcPr>
          <w:p w14:paraId="457B345D" w14:textId="77777777" w:rsidR="00066EC8" w:rsidRDefault="00000000">
            <w:pPr>
              <w:pStyle w:val="Compact"/>
            </w:pPr>
            <w:r>
              <w:lastRenderedPageBreak/>
              <w:t>F001. F005, F008</w:t>
            </w:r>
          </w:p>
        </w:tc>
      </w:tr>
      <w:tr w:rsidR="00066EC8" w14:paraId="664B821F" w14:textId="77777777">
        <w:tc>
          <w:tcPr>
            <w:tcW w:w="1584" w:type="dxa"/>
          </w:tcPr>
          <w:p w14:paraId="3D376066" w14:textId="77777777" w:rsidR="00066EC8" w:rsidRDefault="00000000">
            <w:pPr>
              <w:pStyle w:val="Compact"/>
            </w:pPr>
            <w:r>
              <w:rPr>
                <w:b/>
                <w:bCs/>
              </w:rPr>
              <w:t>Non-functional</w:t>
            </w:r>
          </w:p>
        </w:tc>
        <w:tc>
          <w:tcPr>
            <w:tcW w:w="1584" w:type="dxa"/>
          </w:tcPr>
          <w:p w14:paraId="107A0FC9" w14:textId="77777777" w:rsidR="00066EC8" w:rsidRDefault="00000000">
            <w:pPr>
              <w:pStyle w:val="Compact"/>
            </w:pPr>
            <w:r>
              <w:t>MS2-NFR009</w:t>
            </w:r>
          </w:p>
        </w:tc>
        <w:tc>
          <w:tcPr>
            <w:tcW w:w="1584" w:type="dxa"/>
          </w:tcPr>
          <w:p w14:paraId="35BC469F" w14:textId="77777777" w:rsidR="00066EC8" w:rsidRDefault="00000000">
            <w:pPr>
              <w:pStyle w:val="Compact"/>
            </w:pPr>
            <w:r>
              <w:t>Accessibility</w:t>
            </w:r>
          </w:p>
        </w:tc>
        <w:tc>
          <w:tcPr>
            <w:tcW w:w="1584" w:type="dxa"/>
          </w:tcPr>
          <w:p w14:paraId="12EE08DF" w14:textId="77777777" w:rsidR="00066EC8" w:rsidRDefault="00000000">
            <w:pPr>
              <w:pStyle w:val="Compact"/>
            </w:pPr>
            <w:r>
              <w:t>The AtoN information is accessible as much as possible and modern APIs should be supported for machine-to-machine communication.</w:t>
            </w:r>
          </w:p>
        </w:tc>
        <w:tc>
          <w:tcPr>
            <w:tcW w:w="1584" w:type="dxa"/>
          </w:tcPr>
          <w:p w14:paraId="50D714F3" w14:textId="77777777" w:rsidR="00066EC8" w:rsidRDefault="00000000">
            <w:pPr>
              <w:pStyle w:val="Compact"/>
            </w:pPr>
            <w:r>
              <w:t>F005, F010, F013, F014</w:t>
            </w:r>
          </w:p>
        </w:tc>
      </w:tr>
      <w:tr w:rsidR="00066EC8" w14:paraId="3431F706" w14:textId="77777777">
        <w:tc>
          <w:tcPr>
            <w:tcW w:w="1584" w:type="dxa"/>
          </w:tcPr>
          <w:p w14:paraId="79CBC2EA" w14:textId="77777777" w:rsidR="00066EC8" w:rsidRDefault="00000000">
            <w:pPr>
              <w:pStyle w:val="Compact"/>
            </w:pPr>
            <w:r>
              <w:rPr>
                <w:b/>
                <w:bCs/>
              </w:rPr>
              <w:t>Non-functional</w:t>
            </w:r>
          </w:p>
        </w:tc>
        <w:tc>
          <w:tcPr>
            <w:tcW w:w="1584" w:type="dxa"/>
          </w:tcPr>
          <w:p w14:paraId="19017B2E" w14:textId="77777777" w:rsidR="00066EC8" w:rsidRDefault="00000000">
            <w:pPr>
              <w:pStyle w:val="Compact"/>
            </w:pPr>
            <w:r>
              <w:t>MS2-NFR010</w:t>
            </w:r>
          </w:p>
        </w:tc>
        <w:tc>
          <w:tcPr>
            <w:tcW w:w="1584" w:type="dxa"/>
          </w:tcPr>
          <w:p w14:paraId="68DF440A" w14:textId="77777777" w:rsidR="00066EC8" w:rsidRDefault="00000000">
            <w:pPr>
              <w:pStyle w:val="Compact"/>
            </w:pPr>
            <w:r>
              <w:t>Compatibility</w:t>
            </w:r>
          </w:p>
        </w:tc>
        <w:tc>
          <w:tcPr>
            <w:tcW w:w="1584" w:type="dxa"/>
          </w:tcPr>
          <w:p w14:paraId="5842138A" w14:textId="77777777" w:rsidR="00066EC8" w:rsidRDefault="00000000">
            <w:pPr>
              <w:pStyle w:val="Compact"/>
            </w:pPr>
            <w:r>
              <w:t>The service is compatible with as many end-user devices as possible and conforms to the latest relevant maritime standards (e.g. IEC 63173-2 (SECOM), S-100 (S-124, S-125, S-201, S-240))</w:t>
            </w:r>
          </w:p>
        </w:tc>
        <w:tc>
          <w:tcPr>
            <w:tcW w:w="1584" w:type="dxa"/>
          </w:tcPr>
          <w:p w14:paraId="79F48226" w14:textId="77777777" w:rsidR="00066EC8" w:rsidRDefault="00000000">
            <w:pPr>
              <w:pStyle w:val="Compact"/>
            </w:pPr>
            <w:r>
              <w:t>F005, F010, F013, F014</w:t>
            </w:r>
          </w:p>
        </w:tc>
      </w:tr>
    </w:tbl>
    <w:p w14:paraId="7BDE6789" w14:textId="77777777" w:rsidR="00066EC8" w:rsidRDefault="00000000">
      <w:pPr>
        <w:pStyle w:val="Heading2"/>
      </w:pPr>
      <w:bookmarkStart w:id="38" w:name="sec:other_constraints"/>
      <w:bookmarkStart w:id="39" w:name="_Toc225158521"/>
      <w:bookmarkEnd w:id="32"/>
      <w:bookmarkEnd w:id="34"/>
      <w:r>
        <w:t>Other Constraints</w:t>
      </w:r>
      <w:bookmarkEnd w:id="39"/>
    </w:p>
    <w:p w14:paraId="1E36E21E" w14:textId="77777777" w:rsidR="00066EC8" w:rsidRDefault="00000000">
      <w:pPr>
        <w:pStyle w:val="Heading3"/>
      </w:pPr>
      <w:bookmarkStart w:id="40" w:name="sec:relevant_industrial_standards"/>
      <w:bookmarkStart w:id="41" w:name="_Toc225158522"/>
      <w:r>
        <w:t>Relevant Industrial Standards</w:t>
      </w:r>
      <w:bookmarkEnd w:id="41"/>
    </w:p>
    <w:p w14:paraId="3A8D4961" w14:textId="77777777" w:rsidR="00066EC8" w:rsidRDefault="00000000">
      <w:pPr>
        <w:pStyle w:val="FirstParagraph"/>
      </w:pPr>
      <w:r>
        <w:t>Not Applicable</w:t>
      </w:r>
    </w:p>
    <w:p w14:paraId="5944D5B8" w14:textId="77777777" w:rsidR="00066EC8" w:rsidRDefault="00000000">
      <w:pPr>
        <w:pStyle w:val="Heading3"/>
      </w:pPr>
      <w:bookmarkStart w:id="42" w:name="sec:operational_nodes"/>
      <w:bookmarkStart w:id="43" w:name="_Toc225158523"/>
      <w:bookmarkEnd w:id="36"/>
      <w:r>
        <w:t>Operational Nodes</w:t>
      </w:r>
      <w:bookmarkEnd w:id="43"/>
    </w:p>
    <w:p w14:paraId="40C7D89F" w14:textId="77777777" w:rsidR="00066EC8" w:rsidRDefault="00000000">
      <w:pPr>
        <w:pStyle w:val="FirstParagraph"/>
      </w:pPr>
      <w:r>
        <w:t>The following tables describe the operational nodes of the service.</w:t>
      </w:r>
    </w:p>
    <w:p w14:paraId="4DCE315D" w14:textId="77777777" w:rsidR="00066EC8" w:rsidRDefault="00000000">
      <w:pPr>
        <w:pStyle w:val="TableCaption"/>
      </w:pPr>
      <w:bookmarkStart w:id="44" w:name="tbl:operational_nodes"/>
      <w:bookmarkStart w:id="45" w:name="_Toc225158438"/>
      <w:r>
        <w:t>Operational Nodes providing the S-125 service.</w:t>
      </w:r>
      <w:bookmarkEnd w:id="45"/>
    </w:p>
    <w:tbl>
      <w:tblPr>
        <w:tblStyle w:val="Table"/>
        <w:tblW w:w="5000" w:type="pct"/>
        <w:tblLayout w:type="fixed"/>
        <w:tblLook w:val="0020" w:firstRow="1" w:lastRow="0" w:firstColumn="0" w:lastColumn="0" w:noHBand="0" w:noVBand="0"/>
        <w:tblCaption w:val="Operational Nodes providing the S-125 service."/>
      </w:tblPr>
      <w:tblGrid>
        <w:gridCol w:w="5097"/>
        <w:gridCol w:w="5098"/>
      </w:tblGrid>
      <w:tr w:rsidR="00066EC8" w14:paraId="244F7798"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7A48A24F" w14:textId="77777777" w:rsidR="00066EC8" w:rsidRDefault="00000000">
            <w:pPr>
              <w:pStyle w:val="Compact"/>
            </w:pPr>
            <w:r>
              <w:t>Operational Node</w:t>
            </w:r>
          </w:p>
        </w:tc>
        <w:tc>
          <w:tcPr>
            <w:tcW w:w="3960" w:type="dxa"/>
          </w:tcPr>
          <w:p w14:paraId="4F87B59F" w14:textId="77777777" w:rsidR="00066EC8" w:rsidRDefault="00000000">
            <w:pPr>
              <w:pStyle w:val="Compact"/>
            </w:pPr>
            <w:r>
              <w:t>Remarks</w:t>
            </w:r>
          </w:p>
        </w:tc>
      </w:tr>
      <w:tr w:rsidR="00066EC8" w14:paraId="06D64CF2" w14:textId="77777777">
        <w:tc>
          <w:tcPr>
            <w:tcW w:w="3960" w:type="dxa"/>
          </w:tcPr>
          <w:p w14:paraId="17ABCC1A" w14:textId="77777777" w:rsidR="00066EC8" w:rsidRDefault="00000000">
            <w:pPr>
              <w:pStyle w:val="Compact"/>
            </w:pPr>
            <w:r>
              <w:rPr>
                <w:b/>
                <w:bCs/>
                <w:i/>
                <w:iCs/>
              </w:rPr>
              <w:t>AtoN Administration – AtoN Information Management System</w:t>
            </w:r>
          </w:p>
        </w:tc>
        <w:tc>
          <w:tcPr>
            <w:tcW w:w="3960" w:type="dxa"/>
          </w:tcPr>
          <w:p w14:paraId="34C1B8AB" w14:textId="77777777" w:rsidR="00066EC8" w:rsidRDefault="00000000">
            <w:pPr>
              <w:pStyle w:val="Compact"/>
            </w:pPr>
            <w:r>
              <w:t>The AtoN Information Management System collects all AtoN Information available from its Authoritative Source (AtoN Administration).</w:t>
            </w:r>
          </w:p>
        </w:tc>
      </w:tr>
      <w:tr w:rsidR="00066EC8" w14:paraId="212E07D2" w14:textId="77777777">
        <w:tc>
          <w:tcPr>
            <w:tcW w:w="3960" w:type="dxa"/>
          </w:tcPr>
          <w:p w14:paraId="665284B4" w14:textId="77777777" w:rsidR="00066EC8" w:rsidRDefault="00000000">
            <w:pPr>
              <w:pStyle w:val="Compact"/>
            </w:pPr>
            <w:r>
              <w:rPr>
                <w:b/>
                <w:bCs/>
                <w:i/>
                <w:iCs/>
              </w:rPr>
              <w:t>Coastal State Authority</w:t>
            </w:r>
          </w:p>
        </w:tc>
        <w:tc>
          <w:tcPr>
            <w:tcW w:w="3960" w:type="dxa"/>
          </w:tcPr>
          <w:p w14:paraId="06B9CE5A" w14:textId="77777777" w:rsidR="00066EC8" w:rsidRDefault="00000000">
            <w:pPr>
              <w:pStyle w:val="Compact"/>
            </w:pPr>
            <w:r>
              <w:t>Governmental Agency responsible for overseeing vessel arrival within a respective area. Should facilitate dissemination of S-125.</w:t>
            </w:r>
          </w:p>
        </w:tc>
      </w:tr>
      <w:tr w:rsidR="00066EC8" w14:paraId="5FB89EFE" w14:textId="77777777">
        <w:tc>
          <w:tcPr>
            <w:tcW w:w="3960" w:type="dxa"/>
          </w:tcPr>
          <w:p w14:paraId="7DEED4CF" w14:textId="77777777" w:rsidR="00066EC8" w:rsidRDefault="00000000">
            <w:pPr>
              <w:pStyle w:val="Compact"/>
            </w:pPr>
            <w:r>
              <w:rPr>
                <w:b/>
                <w:bCs/>
                <w:i/>
                <w:iCs/>
              </w:rPr>
              <w:t>Discoverable Service</w:t>
            </w:r>
          </w:p>
        </w:tc>
        <w:tc>
          <w:tcPr>
            <w:tcW w:w="3960" w:type="dxa"/>
          </w:tcPr>
          <w:p w14:paraId="4E66FB04" w14:textId="77777777" w:rsidR="00066EC8" w:rsidRDefault="00000000">
            <w:pPr>
              <w:pStyle w:val="Compact"/>
            </w:pPr>
            <w:r>
              <w:t>S-125 services must be discoverable and may be operated by public or private entities.</w:t>
            </w:r>
          </w:p>
        </w:tc>
      </w:tr>
      <w:tr w:rsidR="00066EC8" w14:paraId="2A463625" w14:textId="77777777">
        <w:tc>
          <w:tcPr>
            <w:tcW w:w="3960" w:type="dxa"/>
          </w:tcPr>
          <w:p w14:paraId="48B86E9C" w14:textId="77777777" w:rsidR="00066EC8" w:rsidRDefault="00000000">
            <w:pPr>
              <w:pStyle w:val="Compact"/>
            </w:pPr>
            <w:r>
              <w:rPr>
                <w:b/>
                <w:bCs/>
                <w:i/>
                <w:iCs/>
              </w:rPr>
              <w:t>Service Consumer</w:t>
            </w:r>
          </w:p>
        </w:tc>
        <w:tc>
          <w:tcPr>
            <w:tcW w:w="3960" w:type="dxa"/>
          </w:tcPr>
          <w:p w14:paraId="66782592" w14:textId="77777777" w:rsidR="00066EC8" w:rsidRDefault="00000000">
            <w:pPr>
              <w:pStyle w:val="Compact"/>
            </w:pPr>
            <w:r>
              <w:t>Consumers of S-125 service. This must include the ECDIS/ECS on vessels operating within coverage area. This may include intermediary service providers.</w:t>
            </w:r>
          </w:p>
        </w:tc>
      </w:tr>
    </w:tbl>
    <w:p w14:paraId="6297F6B1" w14:textId="77777777" w:rsidR="00066EC8" w:rsidRDefault="00000000">
      <w:pPr>
        <w:pStyle w:val="Heading3"/>
      </w:pPr>
      <w:bookmarkStart w:id="46" w:name="sec:operational_activities"/>
      <w:bookmarkStart w:id="47" w:name="_Toc225158524"/>
      <w:bookmarkEnd w:id="38"/>
      <w:bookmarkEnd w:id="40"/>
      <w:r>
        <w:t>Operational Activities</w:t>
      </w:r>
      <w:bookmarkEnd w:id="47"/>
    </w:p>
    <w:p w14:paraId="7ADFC88D" w14:textId="77777777" w:rsidR="00066EC8" w:rsidRDefault="00000000">
      <w:pPr>
        <w:pStyle w:val="FirstParagraph"/>
      </w:pPr>
      <w:r>
        <w:t>The following tables describe the operational activities of the service.</w:t>
      </w:r>
    </w:p>
    <w:p w14:paraId="761DCAC5" w14:textId="77777777" w:rsidR="00066EC8" w:rsidRDefault="00000000">
      <w:pPr>
        <w:pStyle w:val="TableCaption"/>
      </w:pPr>
      <w:bookmarkStart w:id="48" w:name="tbl:operational_activities"/>
      <w:bookmarkStart w:id="49" w:name="_Toc225158439"/>
      <w:r>
        <w:lastRenderedPageBreak/>
        <w:t>Operational Activities supported by the S-125 service.</w:t>
      </w:r>
      <w:bookmarkEnd w:id="49"/>
    </w:p>
    <w:tbl>
      <w:tblPr>
        <w:tblStyle w:val="Table"/>
        <w:tblW w:w="5000" w:type="pct"/>
        <w:tblLayout w:type="fixed"/>
        <w:tblLook w:val="0020" w:firstRow="1" w:lastRow="0" w:firstColumn="0" w:lastColumn="0" w:noHBand="0" w:noVBand="0"/>
        <w:tblCaption w:val="Operational Activities supported by the S-125 service."/>
      </w:tblPr>
      <w:tblGrid>
        <w:gridCol w:w="5097"/>
        <w:gridCol w:w="5098"/>
      </w:tblGrid>
      <w:tr w:rsidR="00066EC8" w14:paraId="349D4037"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6FF8EA04" w14:textId="77777777" w:rsidR="00066EC8" w:rsidRDefault="00000000">
            <w:pPr>
              <w:pStyle w:val="Compact"/>
            </w:pPr>
            <w:r>
              <w:t>Operational Activity</w:t>
            </w:r>
          </w:p>
        </w:tc>
        <w:tc>
          <w:tcPr>
            <w:tcW w:w="3960" w:type="dxa"/>
          </w:tcPr>
          <w:p w14:paraId="3B367E6F" w14:textId="77777777" w:rsidR="00066EC8" w:rsidRDefault="00000000">
            <w:pPr>
              <w:pStyle w:val="Compact"/>
            </w:pPr>
            <w:r>
              <w:t>Remarks</w:t>
            </w:r>
          </w:p>
        </w:tc>
      </w:tr>
      <w:tr w:rsidR="00066EC8" w14:paraId="63CE3126" w14:textId="77777777">
        <w:tc>
          <w:tcPr>
            <w:tcW w:w="3960" w:type="dxa"/>
          </w:tcPr>
          <w:p w14:paraId="0FB55A4C" w14:textId="77777777" w:rsidR="00066EC8" w:rsidRDefault="00000000">
            <w:pPr>
              <w:pStyle w:val="Compact"/>
            </w:pPr>
            <w:r>
              <w:rPr>
                <w:b/>
                <w:bCs/>
                <w:i/>
                <w:iCs/>
              </w:rPr>
              <w:t>Identify S-125 Dataset(s)</w:t>
            </w:r>
          </w:p>
        </w:tc>
        <w:tc>
          <w:tcPr>
            <w:tcW w:w="3960" w:type="dxa"/>
          </w:tcPr>
          <w:p w14:paraId="3B55C0B2" w14:textId="77777777" w:rsidR="00066EC8" w:rsidRDefault="00000000">
            <w:pPr>
              <w:pStyle w:val="Compact"/>
            </w:pPr>
            <w:r>
              <w:t>The service consumer is able to identify the availability of S-125 dataset(s) for a given area. This includes identification of the authoritative source for the dataset(s).</w:t>
            </w:r>
          </w:p>
        </w:tc>
      </w:tr>
      <w:tr w:rsidR="00066EC8" w14:paraId="6CA71A54" w14:textId="77777777">
        <w:tc>
          <w:tcPr>
            <w:tcW w:w="3960" w:type="dxa"/>
          </w:tcPr>
          <w:p w14:paraId="78405964" w14:textId="77777777" w:rsidR="00066EC8" w:rsidRDefault="00000000">
            <w:pPr>
              <w:pStyle w:val="Compact"/>
            </w:pPr>
            <w:r>
              <w:rPr>
                <w:b/>
                <w:bCs/>
                <w:i/>
                <w:iCs/>
              </w:rPr>
              <w:t>Get S-125 Dataset(s)</w:t>
            </w:r>
          </w:p>
        </w:tc>
        <w:tc>
          <w:tcPr>
            <w:tcW w:w="3960" w:type="dxa"/>
          </w:tcPr>
          <w:p w14:paraId="57B24252" w14:textId="77777777" w:rsidR="00066EC8" w:rsidRDefault="00000000">
            <w:pPr>
              <w:pStyle w:val="Compact"/>
            </w:pPr>
            <w:r>
              <w:t>The service consumer is able to retrieve S-125 dataset(s) from the service provider. This includes retrieving archived dataset(s).</w:t>
            </w:r>
          </w:p>
        </w:tc>
      </w:tr>
      <w:tr w:rsidR="00066EC8" w14:paraId="6B318E90" w14:textId="77777777">
        <w:tc>
          <w:tcPr>
            <w:tcW w:w="3960" w:type="dxa"/>
          </w:tcPr>
          <w:p w14:paraId="61AA00D9" w14:textId="77777777" w:rsidR="00066EC8" w:rsidRDefault="00000000">
            <w:pPr>
              <w:pStyle w:val="Compact"/>
            </w:pPr>
            <w:r>
              <w:rPr>
                <w:b/>
                <w:bCs/>
                <w:i/>
                <w:iCs/>
              </w:rPr>
              <w:t>Subscribe</w:t>
            </w:r>
          </w:p>
        </w:tc>
        <w:tc>
          <w:tcPr>
            <w:tcW w:w="3960" w:type="dxa"/>
          </w:tcPr>
          <w:p w14:paraId="51EF7A3E" w14:textId="77777777" w:rsidR="00066EC8" w:rsidRDefault="00000000">
            <w:pPr>
              <w:pStyle w:val="Compact"/>
            </w:pPr>
            <w:r>
              <w:t>The service consumer is able to subscribe to receive S-125 dataset(s) from the service provider for a given timeframe and area.</w:t>
            </w:r>
          </w:p>
        </w:tc>
      </w:tr>
      <w:tr w:rsidR="00066EC8" w14:paraId="269044C8" w14:textId="77777777">
        <w:tc>
          <w:tcPr>
            <w:tcW w:w="3960" w:type="dxa"/>
          </w:tcPr>
          <w:p w14:paraId="673715AF" w14:textId="77777777" w:rsidR="00066EC8" w:rsidRDefault="00000000">
            <w:pPr>
              <w:pStyle w:val="Compact"/>
            </w:pPr>
            <w:r>
              <w:rPr>
                <w:b/>
                <w:bCs/>
                <w:i/>
                <w:iCs/>
              </w:rPr>
              <w:t>Version Designation</w:t>
            </w:r>
          </w:p>
        </w:tc>
        <w:tc>
          <w:tcPr>
            <w:tcW w:w="3960" w:type="dxa"/>
          </w:tcPr>
          <w:p w14:paraId="4747BFA7" w14:textId="77777777" w:rsidR="00066EC8" w:rsidRDefault="00000000">
            <w:pPr>
              <w:pStyle w:val="Compact"/>
            </w:pPr>
            <w:r>
              <w:t>Service provider needs to track the current version of S-125 dataset(s) and make this discoverable to service consumers.</w:t>
            </w:r>
          </w:p>
        </w:tc>
      </w:tr>
      <w:tr w:rsidR="00066EC8" w14:paraId="3FF37096" w14:textId="77777777">
        <w:tc>
          <w:tcPr>
            <w:tcW w:w="3960" w:type="dxa"/>
          </w:tcPr>
          <w:p w14:paraId="07AB81B4" w14:textId="77777777" w:rsidR="00066EC8" w:rsidRDefault="00000000">
            <w:pPr>
              <w:pStyle w:val="Compact"/>
            </w:pPr>
            <w:r>
              <w:rPr>
                <w:b/>
                <w:bCs/>
                <w:i/>
                <w:iCs/>
              </w:rPr>
              <w:t>Record of Changes</w:t>
            </w:r>
          </w:p>
        </w:tc>
        <w:tc>
          <w:tcPr>
            <w:tcW w:w="3960" w:type="dxa"/>
          </w:tcPr>
          <w:p w14:paraId="599B9016" w14:textId="77777777" w:rsidR="00066EC8" w:rsidRDefault="00000000">
            <w:pPr>
              <w:pStyle w:val="Compact"/>
            </w:pPr>
            <w:r>
              <w:t>Service provider needs to log changes between versions of S-125 dataset(s).</w:t>
            </w:r>
          </w:p>
        </w:tc>
      </w:tr>
      <w:tr w:rsidR="00066EC8" w14:paraId="7DAE02A3" w14:textId="77777777">
        <w:tc>
          <w:tcPr>
            <w:tcW w:w="3960" w:type="dxa"/>
          </w:tcPr>
          <w:p w14:paraId="7933071A" w14:textId="77777777" w:rsidR="00066EC8" w:rsidRDefault="00000000">
            <w:pPr>
              <w:pStyle w:val="Compact"/>
            </w:pPr>
            <w:r>
              <w:rPr>
                <w:b/>
                <w:bCs/>
                <w:i/>
                <w:iCs/>
              </w:rPr>
              <w:t>Dissemination of Changes</w:t>
            </w:r>
          </w:p>
        </w:tc>
        <w:tc>
          <w:tcPr>
            <w:tcW w:w="3960" w:type="dxa"/>
          </w:tcPr>
          <w:p w14:paraId="35A45DC4" w14:textId="77777777" w:rsidR="00066EC8" w:rsidRDefault="00000000">
            <w:pPr>
              <w:pStyle w:val="Compact"/>
            </w:pPr>
            <w:r>
              <w:t>The “delta” compilation of changes made to a dataset(s) since the last version was issued may be made available to service consumer before the release of a new dataset version.</w:t>
            </w:r>
          </w:p>
        </w:tc>
      </w:tr>
    </w:tbl>
    <w:p w14:paraId="17A830A3" w14:textId="77777777" w:rsidR="00066EC8" w:rsidRDefault="00000000">
      <w:pPr>
        <w:pStyle w:val="Heading3"/>
      </w:pPr>
      <w:bookmarkStart w:id="50" w:name="sec:use-cases"/>
      <w:bookmarkStart w:id="51" w:name="_Toc225158525"/>
      <w:bookmarkEnd w:id="42"/>
      <w:bookmarkEnd w:id="44"/>
      <w:r>
        <w:t>Use Cases</w:t>
      </w:r>
      <w:bookmarkEnd w:id="51"/>
    </w:p>
    <w:p w14:paraId="2A5E95CA" w14:textId="77777777" w:rsidR="00066EC8" w:rsidRDefault="00000000">
      <w:pPr>
        <w:pStyle w:val="Heading4"/>
      </w:pPr>
      <w:bookmarkStart w:id="52" w:name="use-case-1"/>
      <w:r>
        <w:t>Use-case #1</w:t>
      </w:r>
    </w:p>
    <w:p w14:paraId="09A51F2F" w14:textId="77777777" w:rsidR="00066EC8" w:rsidRDefault="00000000">
      <w:pPr>
        <w:pStyle w:val="FirstParagraph"/>
      </w:pPr>
      <w:r>
        <w:rPr>
          <w:b/>
          <w:bCs/>
        </w:rPr>
        <w:t>Name</w:t>
      </w:r>
      <w:r>
        <w:t>: Retrieve complete S-125 AtoN information from a service provider.</w:t>
      </w:r>
    </w:p>
    <w:p w14:paraId="1EA9F56A" w14:textId="77777777" w:rsidR="00066EC8" w:rsidRDefault="00000000">
      <w:pPr>
        <w:pStyle w:val="BodyText"/>
      </w:pPr>
      <w:r>
        <w:rPr>
          <w:b/>
          <w:bCs/>
        </w:rPr>
        <w:t>Description</w:t>
      </w:r>
      <w:r>
        <w:t>: All AtoN information from a S-125 service provider is requested by the user. System is ECDIS/ECS, or other route planning system.</w:t>
      </w:r>
    </w:p>
    <w:p w14:paraId="7938A4D8" w14:textId="77777777" w:rsidR="00066EC8" w:rsidRDefault="00000000">
      <w:pPr>
        <w:pStyle w:val="BodyText"/>
      </w:pPr>
      <w:r>
        <w:rPr>
          <w:b/>
          <w:bCs/>
        </w:rPr>
        <w:t>Actors</w:t>
      </w:r>
      <w:r>
        <w:t>: Shore-based user (e.g. VTS), AtoN information service, Mariner, ECDIS/ECS or other route planning system</w:t>
      </w:r>
    </w:p>
    <w:p w14:paraId="0D18DB4C" w14:textId="77777777" w:rsidR="00066EC8" w:rsidRDefault="00000000">
      <w:pPr>
        <w:pStyle w:val="BodyText"/>
      </w:pPr>
      <w:r>
        <w:rPr>
          <w:b/>
          <w:bCs/>
        </w:rPr>
        <w:t>Frequency of Use</w:t>
      </w:r>
      <w:r>
        <w:t>: Typically triggered once when a user request information</w:t>
      </w:r>
    </w:p>
    <w:p w14:paraId="0DA1AA96" w14:textId="77777777" w:rsidR="00066EC8" w:rsidRDefault="00000000">
      <w:pPr>
        <w:pStyle w:val="BodyText"/>
      </w:pPr>
      <w:r>
        <w:rPr>
          <w:b/>
          <w:bCs/>
        </w:rPr>
        <w:t>Pre-conditions</w:t>
      </w:r>
      <w:r>
        <w:t>: The service instance is known to the system, or the system has access to a service registry in which the service instance can be discovered.</w:t>
      </w:r>
    </w:p>
    <w:p w14:paraId="0E19E3E8" w14:textId="77777777" w:rsidR="00066EC8" w:rsidRDefault="00000000">
      <w:pPr>
        <w:pStyle w:val="BodyText"/>
      </w:pPr>
      <w:r>
        <w:rPr>
          <w:b/>
          <w:bCs/>
        </w:rPr>
        <w:t>Ordinary Sequence:</w:t>
      </w:r>
      <w:r>
        <w:t>:</w:t>
      </w:r>
    </w:p>
    <w:p w14:paraId="12490397" w14:textId="77777777" w:rsidR="00066EC8" w:rsidRDefault="00000000">
      <w:pPr>
        <w:pStyle w:val="Compact"/>
        <w:numPr>
          <w:ilvl w:val="0"/>
          <w:numId w:val="74"/>
        </w:numPr>
      </w:pPr>
      <w:r>
        <w:t>User sends request to the service.</w:t>
      </w:r>
    </w:p>
    <w:p w14:paraId="161B7633" w14:textId="77777777" w:rsidR="00066EC8" w:rsidRDefault="00000000">
      <w:pPr>
        <w:pStyle w:val="Compact"/>
        <w:numPr>
          <w:ilvl w:val="0"/>
          <w:numId w:val="74"/>
        </w:numPr>
      </w:pPr>
      <w:r>
        <w:t>The service directly answers the request with all of the AtoN dataset(s) in the service.</w:t>
      </w:r>
    </w:p>
    <w:p w14:paraId="36923ACD" w14:textId="77777777" w:rsidR="00066EC8" w:rsidRDefault="00000000">
      <w:pPr>
        <w:pStyle w:val="Compact"/>
        <w:numPr>
          <w:ilvl w:val="0"/>
          <w:numId w:val="74"/>
        </w:numPr>
      </w:pPr>
      <w:r>
        <w:t>The data is rendered and displayed to the user.</w:t>
      </w:r>
    </w:p>
    <w:p w14:paraId="22E68DC3" w14:textId="77777777" w:rsidR="00066EC8" w:rsidRDefault="00000000">
      <w:pPr>
        <w:pStyle w:val="FirstParagraph"/>
      </w:pPr>
      <w:r>
        <w:rPr>
          <w:b/>
          <w:bCs/>
        </w:rPr>
        <w:t>Post-conditions</w:t>
      </w:r>
      <w:r>
        <w:t>:: The correct AtoN information is received by the user</w:t>
      </w:r>
    </w:p>
    <w:p w14:paraId="01D929AA" w14:textId="77777777" w:rsidR="00066EC8" w:rsidRDefault="00000000">
      <w:pPr>
        <w:pStyle w:val="Heading4"/>
      </w:pPr>
      <w:bookmarkStart w:id="53" w:name="use-case-2"/>
      <w:bookmarkEnd w:id="46"/>
      <w:r>
        <w:t>Use-case #2</w:t>
      </w:r>
    </w:p>
    <w:p w14:paraId="03201E9A" w14:textId="77777777" w:rsidR="00066EC8" w:rsidRDefault="00000000">
      <w:pPr>
        <w:pStyle w:val="FirstParagraph"/>
      </w:pPr>
      <w:r>
        <w:rPr>
          <w:b/>
          <w:bCs/>
        </w:rPr>
        <w:t>Name</w:t>
      </w:r>
      <w:r>
        <w:t>: Retrieve AtoN information for a specific area, geographically defined waterway, predefined by authoritative source as S-125 dataset(s).</w:t>
      </w:r>
    </w:p>
    <w:p w14:paraId="0242A423" w14:textId="77777777" w:rsidR="00066EC8" w:rsidRDefault="00000000">
      <w:pPr>
        <w:pStyle w:val="BodyText"/>
      </w:pPr>
      <w:r>
        <w:rPr>
          <w:b/>
          <w:bCs/>
        </w:rPr>
        <w:t>Description</w:t>
      </w:r>
      <w:r>
        <w:t>: Complete dataset(s) of AtoNs located in the area covered by the chart or defined by the user is requested by the system, including information such as ATON casualties or changes which may impact navigational safety; notification of temporary changes, advanced notice of changes, and proposed changes to ATON. System is ECDIS/ECS, or other route planning system.</w:t>
      </w:r>
    </w:p>
    <w:p w14:paraId="519F80F1" w14:textId="77777777" w:rsidR="00066EC8" w:rsidRDefault="00000000">
      <w:pPr>
        <w:pStyle w:val="BodyText"/>
      </w:pPr>
      <w:r>
        <w:rPr>
          <w:b/>
          <w:bCs/>
        </w:rPr>
        <w:t>Actors</w:t>
      </w:r>
      <w:r>
        <w:t>: Mariner, System, AtoN information service</w:t>
      </w:r>
    </w:p>
    <w:p w14:paraId="6F227289" w14:textId="77777777" w:rsidR="00066EC8" w:rsidRDefault="00000000">
      <w:pPr>
        <w:pStyle w:val="BodyText"/>
      </w:pPr>
      <w:r>
        <w:rPr>
          <w:b/>
          <w:bCs/>
        </w:rPr>
        <w:t>Frequency of Use</w:t>
      </w:r>
      <w:r>
        <w:t>: Typically triggered once when new updates are available or when user needs information for a (serviced defined) area.</w:t>
      </w:r>
    </w:p>
    <w:p w14:paraId="1790D25B" w14:textId="77777777" w:rsidR="00066EC8" w:rsidRDefault="00000000">
      <w:pPr>
        <w:pStyle w:val="BodyText"/>
      </w:pPr>
      <w:r>
        <w:rPr>
          <w:b/>
          <w:bCs/>
        </w:rPr>
        <w:lastRenderedPageBreak/>
        <w:t>Pre-conditions</w:t>
      </w:r>
      <w:r>
        <w:t>: The service instance is known to the user, or the system has access to a service registry in which the service instance can be discovered.</w:t>
      </w:r>
    </w:p>
    <w:p w14:paraId="29E2A5C8" w14:textId="77777777" w:rsidR="00066EC8" w:rsidRDefault="00000000">
      <w:pPr>
        <w:pStyle w:val="BodyText"/>
      </w:pPr>
      <w:r>
        <w:rPr>
          <w:b/>
          <w:bCs/>
        </w:rPr>
        <w:t>Ordinary Sequence</w:t>
      </w:r>
      <w:r>
        <w:t>:</w:t>
      </w:r>
    </w:p>
    <w:p w14:paraId="76FEB063" w14:textId="77777777" w:rsidR="00066EC8" w:rsidRDefault="00000000">
      <w:pPr>
        <w:pStyle w:val="Compact"/>
        <w:numPr>
          <w:ilvl w:val="0"/>
          <w:numId w:val="75"/>
        </w:numPr>
      </w:pPr>
      <w:r>
        <w:t>The end user software sends request to get information of all datasets with the specified area(s) covered by the service, provided as summary functionality as defined under SECOM.</w:t>
      </w:r>
    </w:p>
    <w:p w14:paraId="23C1B1CA" w14:textId="77777777" w:rsidR="00066EC8" w:rsidRDefault="00000000">
      <w:pPr>
        <w:pStyle w:val="Compact"/>
        <w:numPr>
          <w:ilvl w:val="0"/>
          <w:numId w:val="75"/>
        </w:numPr>
      </w:pPr>
      <w:r>
        <w:t>The end user software receives information of all areas covered by the service.</w:t>
      </w:r>
    </w:p>
    <w:p w14:paraId="58CE548B" w14:textId="77777777" w:rsidR="00066EC8" w:rsidRDefault="00000000">
      <w:pPr>
        <w:pStyle w:val="Compact"/>
        <w:numPr>
          <w:ilvl w:val="0"/>
          <w:numId w:val="75"/>
        </w:numPr>
      </w:pPr>
      <w:r>
        <w:t>The user selects the dataset(s) for the desired area or waterway(s).</w:t>
      </w:r>
    </w:p>
    <w:p w14:paraId="7E8E413E" w14:textId="77777777" w:rsidR="00066EC8" w:rsidRDefault="00000000">
      <w:pPr>
        <w:pStyle w:val="Compact"/>
        <w:numPr>
          <w:ilvl w:val="0"/>
          <w:numId w:val="75"/>
        </w:numPr>
      </w:pPr>
      <w:r>
        <w:t>The end user software sends request to receive information on all AtoNs that are located inside the coverage area.</w:t>
      </w:r>
    </w:p>
    <w:p w14:paraId="3269E52E" w14:textId="77777777" w:rsidR="00066EC8" w:rsidRDefault="00000000">
      <w:pPr>
        <w:pStyle w:val="Compact"/>
        <w:numPr>
          <w:ilvl w:val="0"/>
          <w:numId w:val="75"/>
        </w:numPr>
      </w:pPr>
      <w:r>
        <w:t>The service answers by providing the most recent data. This includes all relevant datasets to the user’s request. To ensure that all relevant safety information is presented to the mariner, datasets may not be broken or divided from what it provided by the authoritative source.</w:t>
      </w:r>
    </w:p>
    <w:p w14:paraId="2389E0B7" w14:textId="77777777" w:rsidR="00066EC8" w:rsidRDefault="00000000">
      <w:pPr>
        <w:pStyle w:val="Compact"/>
        <w:numPr>
          <w:ilvl w:val="0"/>
          <w:numId w:val="75"/>
        </w:numPr>
      </w:pPr>
      <w:r>
        <w:t>The data is rendered and displayed to the user.</w:t>
      </w:r>
    </w:p>
    <w:p w14:paraId="7B7E9F7F" w14:textId="77777777" w:rsidR="00066EC8" w:rsidRDefault="00000000">
      <w:pPr>
        <w:pStyle w:val="FirstParagraph"/>
      </w:pPr>
      <w:r>
        <w:rPr>
          <w:b/>
          <w:bCs/>
        </w:rPr>
        <w:t>Post-conditions</w:t>
      </w:r>
      <w:r>
        <w:t>: The correct AtoN information is received by the user</w:t>
      </w:r>
    </w:p>
    <w:p w14:paraId="43B9D53B" w14:textId="77777777" w:rsidR="00066EC8" w:rsidRDefault="00000000">
      <w:pPr>
        <w:pStyle w:val="Heading4"/>
      </w:pPr>
      <w:bookmarkStart w:id="54" w:name="use-case-3"/>
      <w:bookmarkEnd w:id="48"/>
      <w:r>
        <w:t>Use-case #3</w:t>
      </w:r>
    </w:p>
    <w:p w14:paraId="4B360948" w14:textId="77777777" w:rsidR="00066EC8" w:rsidRDefault="00000000">
      <w:pPr>
        <w:pStyle w:val="FirstParagraph"/>
      </w:pPr>
      <w:r>
        <w:rPr>
          <w:b/>
          <w:bCs/>
        </w:rPr>
        <w:t>Name</w:t>
      </w:r>
      <w:r>
        <w:t>: Retrieve updates on the AtoN information through subscription service.</w:t>
      </w:r>
    </w:p>
    <w:p w14:paraId="730EE89E" w14:textId="77777777" w:rsidR="00066EC8" w:rsidRDefault="00000000">
      <w:pPr>
        <w:pStyle w:val="BodyText"/>
      </w:pPr>
      <w:r>
        <w:rPr>
          <w:b/>
          <w:bCs/>
        </w:rPr>
        <w:t>Description</w:t>
      </w:r>
      <w:r>
        <w:t>: ATON information and its changes, including status, within the user’s subscription parameters as made available by the service provider. Parameters may include a geographical area, or time duration for the subscription. Includes navigation safety information such as AtoN casualties or changes which may impact navigational safety: discrepancies, notification of temporary changes, advanced notice of changes, and proposed changes to AtoN. System is ECDIS/ECS, or other route planning system.</w:t>
      </w:r>
    </w:p>
    <w:p w14:paraId="1DFEF0F5" w14:textId="77777777" w:rsidR="00066EC8" w:rsidRDefault="00000000">
      <w:pPr>
        <w:pStyle w:val="BodyText"/>
      </w:pPr>
      <w:r>
        <w:rPr>
          <w:b/>
          <w:bCs/>
        </w:rPr>
        <w:t>Actors</w:t>
      </w:r>
      <w:r>
        <w:t>: Mariner, System, AtoN information service</w:t>
      </w:r>
    </w:p>
    <w:p w14:paraId="586EAEB6" w14:textId="77777777" w:rsidR="00066EC8" w:rsidRDefault="00000000">
      <w:pPr>
        <w:pStyle w:val="BodyText"/>
      </w:pPr>
      <w:r>
        <w:rPr>
          <w:b/>
          <w:bCs/>
        </w:rPr>
        <w:t>Frequency of Use</w:t>
      </w:r>
      <w:r>
        <w:t>: Triggered by the needs of the subscriber, when they want to receive updates for dataset(s) they have previously received.</w:t>
      </w:r>
    </w:p>
    <w:p w14:paraId="29314F70" w14:textId="77777777" w:rsidR="00066EC8" w:rsidRDefault="00000000">
      <w:pPr>
        <w:pStyle w:val="BodyText"/>
      </w:pPr>
      <w:r>
        <w:rPr>
          <w:b/>
          <w:bCs/>
        </w:rPr>
        <w:t>Pre-conditions</w:t>
      </w:r>
      <w:r>
        <w:t>: The service instance is known to the system, or the system has access to a service registry in which the service instance can be discovered.</w:t>
      </w:r>
    </w:p>
    <w:p w14:paraId="63C154ED" w14:textId="77777777" w:rsidR="00066EC8" w:rsidRDefault="00000000">
      <w:pPr>
        <w:pStyle w:val="BodyText"/>
      </w:pPr>
      <w:r>
        <w:rPr>
          <w:b/>
          <w:bCs/>
        </w:rPr>
        <w:t>Ordinary Sequence</w:t>
      </w:r>
      <w:r>
        <w:t>:</w:t>
      </w:r>
    </w:p>
    <w:p w14:paraId="0AE3EEC1" w14:textId="77777777" w:rsidR="00066EC8" w:rsidRDefault="00000000">
      <w:pPr>
        <w:pStyle w:val="Compact"/>
        <w:numPr>
          <w:ilvl w:val="0"/>
          <w:numId w:val="76"/>
        </w:numPr>
      </w:pPr>
      <w:r>
        <w:t>The system subscribes to receive AtoN information.</w:t>
      </w:r>
    </w:p>
    <w:p w14:paraId="654B0FBE" w14:textId="77777777" w:rsidR="00066EC8" w:rsidRDefault="00000000">
      <w:pPr>
        <w:pStyle w:val="Compact"/>
        <w:numPr>
          <w:ilvl w:val="0"/>
          <w:numId w:val="76"/>
        </w:numPr>
      </w:pPr>
      <w:r>
        <w:t>The service answers the request with the most recent data. This includes all relevant datasets to the user’s subscription. To ensure that all relevant safety information is presented to the mariner, datasets may not be broken or divided from what it provided by the authoritative source</w:t>
      </w:r>
    </w:p>
    <w:p w14:paraId="0BA7DD9E" w14:textId="77777777" w:rsidR="00066EC8" w:rsidRDefault="00000000">
      <w:pPr>
        <w:pStyle w:val="Compact"/>
        <w:numPr>
          <w:ilvl w:val="0"/>
          <w:numId w:val="76"/>
        </w:numPr>
      </w:pPr>
      <w:r>
        <w:t>The data is rendered and displayed to the user.</w:t>
      </w:r>
    </w:p>
    <w:p w14:paraId="41EDB7F6" w14:textId="77777777" w:rsidR="00066EC8" w:rsidRDefault="00000000">
      <w:pPr>
        <w:pStyle w:val="Compact"/>
        <w:numPr>
          <w:ilvl w:val="0"/>
          <w:numId w:val="76"/>
        </w:numPr>
      </w:pPr>
      <w:r>
        <w:t>Indication of the changes is highlighted to the user.</w:t>
      </w:r>
    </w:p>
    <w:p w14:paraId="57B72FBC" w14:textId="77777777" w:rsidR="00066EC8" w:rsidRDefault="00000000">
      <w:pPr>
        <w:pStyle w:val="FirstParagraph"/>
      </w:pPr>
      <w:r>
        <w:rPr>
          <w:b/>
          <w:bCs/>
        </w:rPr>
        <w:t>Post-conditions</w:t>
      </w:r>
      <w:r>
        <w:t>: The correct AtoN status information is displayed</w:t>
      </w:r>
    </w:p>
    <w:p w14:paraId="29AF1132" w14:textId="77777777" w:rsidR="00066EC8" w:rsidRDefault="00000000">
      <w:pPr>
        <w:pStyle w:val="Heading4"/>
      </w:pPr>
      <w:bookmarkStart w:id="55" w:name="use-case-4"/>
      <w:bookmarkEnd w:id="50"/>
      <w:r>
        <w:t>Use-case #4</w:t>
      </w:r>
    </w:p>
    <w:p w14:paraId="3C337319" w14:textId="77777777" w:rsidR="00066EC8" w:rsidRDefault="00000000">
      <w:pPr>
        <w:pStyle w:val="FirstParagraph"/>
      </w:pPr>
      <w:r>
        <w:rPr>
          <w:b/>
          <w:bCs/>
        </w:rPr>
        <w:t>Name</w:t>
      </w:r>
      <w:r>
        <w:t>: Retrieve information on the status of a single AtoN based on its MRN [3] or location.</w:t>
      </w:r>
    </w:p>
    <w:p w14:paraId="1CD347F2" w14:textId="77777777" w:rsidR="00066EC8" w:rsidRDefault="00000000">
      <w:pPr>
        <w:pStyle w:val="BodyText"/>
      </w:pPr>
      <w:r>
        <w:rPr>
          <w:b/>
          <w:bCs/>
        </w:rPr>
        <w:t>Description</w:t>
      </w:r>
      <w:r>
        <w:t>: Includes navigation safety information such as AtoN casualties or changes which may impact navigational safety; notification of temporary changes, advanced notice of changes, and proposed changes to AtoN. System is non-ECDIS, but other route planning system.</w:t>
      </w:r>
    </w:p>
    <w:p w14:paraId="707BDBCA" w14:textId="77777777" w:rsidR="00066EC8" w:rsidRDefault="00000000">
      <w:pPr>
        <w:pStyle w:val="BodyText"/>
      </w:pPr>
      <w:r>
        <w:rPr>
          <w:b/>
          <w:bCs/>
        </w:rPr>
        <w:t>Actors</w:t>
      </w:r>
      <w:r>
        <w:t>: Researcher, ATON Administrator, AtoN information service</w:t>
      </w:r>
    </w:p>
    <w:p w14:paraId="5AABBC28" w14:textId="77777777" w:rsidR="00066EC8" w:rsidRDefault="00000000">
      <w:pPr>
        <w:pStyle w:val="BodyText"/>
      </w:pPr>
      <w:r>
        <w:rPr>
          <w:b/>
          <w:bCs/>
        </w:rPr>
        <w:t>Frequency of Use</w:t>
      </w:r>
      <w:r>
        <w:t>: Adhoc.</w:t>
      </w:r>
    </w:p>
    <w:p w14:paraId="095E3A67" w14:textId="77777777" w:rsidR="00066EC8" w:rsidRDefault="00000000">
      <w:pPr>
        <w:pStyle w:val="BodyText"/>
      </w:pPr>
      <w:r>
        <w:rPr>
          <w:b/>
          <w:bCs/>
        </w:rPr>
        <w:t>Pre-conditions</w:t>
      </w:r>
      <w:r>
        <w:t>: The service instance is known to the relevant system or has access to a service registry in which the service instance can be discovered. Data is packaged in S-125 datasets with MRN attributes populated. S-125 datasets cannot be broken apart into division beyond those established by the authoritative source for liability reasons.</w:t>
      </w:r>
    </w:p>
    <w:p w14:paraId="7EF33C29" w14:textId="77777777" w:rsidR="00066EC8" w:rsidRDefault="00000000">
      <w:pPr>
        <w:pStyle w:val="BodyText"/>
      </w:pPr>
      <w:r>
        <w:rPr>
          <w:b/>
          <w:bCs/>
        </w:rPr>
        <w:lastRenderedPageBreak/>
        <w:t>Ordinary Sequence</w:t>
      </w:r>
      <w:r>
        <w:t>:</w:t>
      </w:r>
    </w:p>
    <w:p w14:paraId="5457DA51" w14:textId="77777777" w:rsidR="00066EC8" w:rsidRDefault="00000000">
      <w:pPr>
        <w:pStyle w:val="Compact"/>
        <w:numPr>
          <w:ilvl w:val="0"/>
          <w:numId w:val="77"/>
        </w:numPr>
      </w:pPr>
      <w:r>
        <w:t>The AtoN status information is requested from the service.</w:t>
      </w:r>
    </w:p>
    <w:p w14:paraId="495F4525" w14:textId="77777777" w:rsidR="00066EC8" w:rsidRDefault="00000000">
      <w:pPr>
        <w:pStyle w:val="Compact"/>
        <w:numPr>
          <w:ilvl w:val="0"/>
          <w:numId w:val="77"/>
        </w:numPr>
      </w:pPr>
      <w:r>
        <w:t>The service directly answers the request with the appropriate data. This includes the S-125 data for the ATON identified as well as all additional ATON contained within the predefined S-125 dataset.</w:t>
      </w:r>
    </w:p>
    <w:p w14:paraId="66EC6F9C" w14:textId="77777777" w:rsidR="00066EC8" w:rsidRDefault="00000000">
      <w:pPr>
        <w:pStyle w:val="Compact"/>
        <w:numPr>
          <w:ilvl w:val="0"/>
          <w:numId w:val="77"/>
        </w:numPr>
      </w:pPr>
      <w:r>
        <w:t>The data is rendered and displayed to the user.</w:t>
      </w:r>
    </w:p>
    <w:p w14:paraId="1782A557" w14:textId="77777777" w:rsidR="00066EC8" w:rsidRDefault="00000000">
      <w:pPr>
        <w:pStyle w:val="FirstParagraph"/>
      </w:pPr>
      <w:r>
        <w:rPr>
          <w:b/>
          <w:bCs/>
        </w:rPr>
        <w:t>Post-conditions</w:t>
      </w:r>
      <w:r>
        <w:t>: The correct AtoN status information is displayed.</w:t>
      </w:r>
    </w:p>
    <w:p w14:paraId="0A0DC324" w14:textId="77777777" w:rsidR="00066EC8" w:rsidRDefault="00000000">
      <w:r>
        <w:br w:type="page"/>
      </w:r>
    </w:p>
    <w:p w14:paraId="4D03E8F6" w14:textId="77777777" w:rsidR="00066EC8" w:rsidRDefault="00000000">
      <w:pPr>
        <w:pStyle w:val="Heading1"/>
      </w:pPr>
      <w:bookmarkStart w:id="56" w:name="sec:service_overview"/>
      <w:bookmarkStart w:id="57" w:name="_Toc225158526"/>
      <w:bookmarkEnd w:id="52"/>
      <w:bookmarkEnd w:id="53"/>
      <w:bookmarkEnd w:id="54"/>
      <w:bookmarkEnd w:id="55"/>
      <w:r>
        <w:lastRenderedPageBreak/>
        <w:t>Service Overview</w:t>
      </w:r>
      <w:bookmarkEnd w:id="57"/>
    </w:p>
    <w:p w14:paraId="2A0CF7A4" w14:textId="77777777" w:rsidR="00066EC8" w:rsidRDefault="00000000">
      <w:pPr>
        <w:pStyle w:val="FirstParagraph"/>
      </w:pPr>
      <w:r>
        <w:t>This section aims at providing an overview of the main elements of the service. Architectural elements applicable for this description are:</w:t>
      </w:r>
    </w:p>
    <w:p w14:paraId="4E8512FD" w14:textId="77777777" w:rsidR="00066EC8" w:rsidRDefault="00000000">
      <w:pPr>
        <w:numPr>
          <w:ilvl w:val="0"/>
          <w:numId w:val="78"/>
        </w:numPr>
      </w:pPr>
      <w:r>
        <w:t>Service - the element representing the service, as a whole</w:t>
      </w:r>
    </w:p>
    <w:p w14:paraId="62364787" w14:textId="77777777" w:rsidR="00066EC8" w:rsidRDefault="00000000">
      <w:pPr>
        <w:numPr>
          <w:ilvl w:val="0"/>
          <w:numId w:val="78"/>
        </w:numPr>
      </w:pPr>
      <w:r>
        <w:t>Service Operations - describe the logical operations used to access the service. Actual technical designs may rename some of the operations or ignore some of the operations if the operation is triggered in a different way e.g. API-based designs require more operations than an event-based design. Multiple service operations may also be implemented by a single API endpoint with e.g. different HTTP methods differentiating between operations.</w:t>
      </w:r>
    </w:p>
    <w:p w14:paraId="5762FB28" w14:textId="77777777" w:rsidR="00066EC8" w:rsidRDefault="00000000">
      <w:pPr>
        <w:numPr>
          <w:ilvl w:val="0"/>
          <w:numId w:val="78"/>
        </w:numPr>
      </w:pPr>
      <w:r>
        <w:t>Service Operations Parameter Definitions - identify logical data structures being exchanged via Service Operations. These parameters must not be an exhaustive list but describe the parameters that are required for the business logic to work.</w:t>
      </w:r>
    </w:p>
    <w:p w14:paraId="0B4A03B4" w14:textId="77777777" w:rsidR="00066EC8" w:rsidRDefault="00000000">
      <w:pPr>
        <w:pStyle w:val="Heading2"/>
      </w:pPr>
      <w:bookmarkStart w:id="58" w:name="sec:the_aton_information_service"/>
      <w:bookmarkStart w:id="59" w:name="_Toc225158527"/>
      <w:r>
        <w:t>The AtoN Information Service</w:t>
      </w:r>
      <w:bookmarkEnd w:id="59"/>
    </w:p>
    <w:p w14:paraId="317CBF86" w14:textId="77777777" w:rsidR="00066EC8" w:rsidRDefault="00000000">
      <w:pPr>
        <w:pStyle w:val="FirstParagraph"/>
      </w:pPr>
      <w:r>
        <w:t>In Figure 4, below, an overview of the operations of the AtoN Information service is shown.</w:t>
      </w:r>
    </w:p>
    <w:p w14:paraId="19CC34D3" w14:textId="77777777" w:rsidR="00066EC8" w:rsidRDefault="00000000">
      <w:pPr>
        <w:pStyle w:val="CaptionedFigure"/>
      </w:pPr>
      <w:r>
        <w:rPr>
          <w:noProof/>
        </w:rPr>
        <w:drawing>
          <wp:inline distT="0" distB="0" distL="0" distR="0" wp14:anchorId="7E84E51E" wp14:editId="4B56B665">
            <wp:extent cx="6477000" cy="4501558"/>
            <wp:effectExtent l="0" t="0" r="0" b="0"/>
            <wp:docPr id="4" name="Picture" descr="S-125 Service Operations Definition diagram."/>
            <wp:cNvGraphicFramePr/>
            <a:graphic xmlns:a="http://schemas.openxmlformats.org/drawingml/2006/main">
              <a:graphicData uri="http://schemas.openxmlformats.org/drawingml/2006/picture">
                <pic:pic xmlns:pic="http://schemas.openxmlformats.org/drawingml/2006/picture">
                  <pic:nvPicPr>
                    <pic:cNvPr id="4" name="Picture" descr="source/guideline/../../resources/ServiceInterfaces.png"/>
                    <pic:cNvPicPr>
                      <a:picLocks noChangeAspect="1" noChangeArrowheads="1"/>
                    </pic:cNvPicPr>
                  </pic:nvPicPr>
                  <pic:blipFill>
                    <a:blip r:embed="rId29"/>
                    <a:stretch>
                      <a:fillRect/>
                    </a:stretch>
                  </pic:blipFill>
                  <pic:spPr bwMode="auto">
                    <a:xfrm>
                      <a:off x="0" y="0"/>
                      <a:ext cx="6477000" cy="4501558"/>
                    </a:xfrm>
                    <a:prstGeom prst="rect">
                      <a:avLst/>
                    </a:prstGeom>
                    <a:noFill/>
                    <a:ln w="9525">
                      <a:noFill/>
                      <a:headEnd/>
                      <a:tailEnd/>
                    </a:ln>
                  </pic:spPr>
                </pic:pic>
              </a:graphicData>
            </a:graphic>
          </wp:inline>
        </w:drawing>
      </w:r>
    </w:p>
    <w:p w14:paraId="4A133E85" w14:textId="77777777" w:rsidR="00066EC8" w:rsidRDefault="00000000">
      <w:pPr>
        <w:pStyle w:val="ImageCaption"/>
      </w:pPr>
      <w:bookmarkStart w:id="60" w:name="_Toc225158546"/>
      <w:r>
        <w:t>S-125 Service Operations Definition diagram.</w:t>
      </w:r>
      <w:bookmarkEnd w:id="60"/>
    </w:p>
    <w:p w14:paraId="5F52532D" w14:textId="77777777" w:rsidR="00066EC8" w:rsidRDefault="00000000">
      <w:pPr>
        <w:pStyle w:val="TableCaption"/>
      </w:pPr>
      <w:bookmarkStart w:id="61" w:name="_Toc225158440"/>
      <w:r>
        <w:lastRenderedPageBreak/>
        <w:t>Service Operations Overview.</w:t>
      </w:r>
      <w:bookmarkEnd w:id="61"/>
    </w:p>
    <w:tbl>
      <w:tblPr>
        <w:tblStyle w:val="Table"/>
        <w:tblW w:w="5000" w:type="pct"/>
        <w:tblLayout w:type="fixed"/>
        <w:tblLook w:val="0020" w:firstRow="1" w:lastRow="0" w:firstColumn="0" w:lastColumn="0" w:noHBand="0" w:noVBand="0"/>
        <w:tblCaption w:val="Service Operations Overview."/>
      </w:tblPr>
      <w:tblGrid>
        <w:gridCol w:w="2548"/>
        <w:gridCol w:w="2549"/>
        <w:gridCol w:w="2549"/>
        <w:gridCol w:w="2549"/>
      </w:tblGrid>
      <w:tr w:rsidR="00066EC8" w14:paraId="47E732C4"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744DBD89" w14:textId="77777777" w:rsidR="00066EC8" w:rsidRDefault="00066EC8">
            <w:pPr>
              <w:pStyle w:val="Compact"/>
            </w:pPr>
          </w:p>
        </w:tc>
        <w:tc>
          <w:tcPr>
            <w:tcW w:w="1980" w:type="dxa"/>
          </w:tcPr>
          <w:p w14:paraId="656D28F4" w14:textId="77777777" w:rsidR="00066EC8" w:rsidRDefault="00000000">
            <w:pPr>
              <w:pStyle w:val="Compact"/>
            </w:pPr>
            <w:r>
              <w:t>Service Operation</w:t>
            </w:r>
          </w:p>
        </w:tc>
        <w:tc>
          <w:tcPr>
            <w:tcW w:w="1980" w:type="dxa"/>
          </w:tcPr>
          <w:p w14:paraId="27C8FFF8" w14:textId="77777777" w:rsidR="00066EC8" w:rsidRDefault="00000000">
            <w:pPr>
              <w:pStyle w:val="Compact"/>
            </w:pPr>
            <w:r>
              <w:t>Exchange Pattern</w:t>
            </w:r>
          </w:p>
        </w:tc>
        <w:tc>
          <w:tcPr>
            <w:tcW w:w="1980" w:type="dxa"/>
          </w:tcPr>
          <w:p w14:paraId="65109313" w14:textId="77777777" w:rsidR="00066EC8" w:rsidRDefault="00000000">
            <w:pPr>
              <w:pStyle w:val="Compact"/>
            </w:pPr>
            <w:r>
              <w:t>Definition</w:t>
            </w:r>
          </w:p>
        </w:tc>
      </w:tr>
      <w:tr w:rsidR="00066EC8" w14:paraId="57C59CA7" w14:textId="77777777">
        <w:tc>
          <w:tcPr>
            <w:tcW w:w="1980" w:type="dxa"/>
            <w:vMerge w:val="restart"/>
          </w:tcPr>
          <w:p w14:paraId="0B937481" w14:textId="77777777" w:rsidR="00066EC8" w:rsidRDefault="00000000">
            <w:pPr>
              <w:pStyle w:val="Compact"/>
            </w:pPr>
            <w:r>
              <w:t>PULL</w:t>
            </w:r>
          </w:p>
        </w:tc>
        <w:tc>
          <w:tcPr>
            <w:tcW w:w="1980" w:type="dxa"/>
          </w:tcPr>
          <w:p w14:paraId="32E93089" w14:textId="77777777" w:rsidR="00066EC8" w:rsidRDefault="00000000">
            <w:pPr>
              <w:pStyle w:val="Compact"/>
            </w:pPr>
            <w:r>
              <w:t>Get</w:t>
            </w:r>
          </w:p>
        </w:tc>
        <w:tc>
          <w:tcPr>
            <w:tcW w:w="1980" w:type="dxa"/>
          </w:tcPr>
          <w:p w14:paraId="36F7D009" w14:textId="77777777" w:rsidR="00066EC8" w:rsidRDefault="00000000">
            <w:pPr>
              <w:pStyle w:val="Compact"/>
            </w:pPr>
            <w:r>
              <w:t>REQUEST_RESPONSE</w:t>
            </w:r>
          </w:p>
        </w:tc>
        <w:tc>
          <w:tcPr>
            <w:tcW w:w="1980" w:type="dxa"/>
          </w:tcPr>
          <w:p w14:paraId="5BF4C20F" w14:textId="77777777" w:rsidR="00066EC8" w:rsidRDefault="00000000">
            <w:pPr>
              <w:pStyle w:val="Compact"/>
            </w:pPr>
            <w:r>
              <w:t>Operation to (pull) ask for AtoN datasets from the producer.</w:t>
            </w:r>
          </w:p>
        </w:tc>
      </w:tr>
      <w:tr w:rsidR="00066EC8" w14:paraId="77AA53D1" w14:textId="77777777">
        <w:tc>
          <w:tcPr>
            <w:tcW w:w="1980" w:type="dxa"/>
            <w:vMerge/>
          </w:tcPr>
          <w:p w14:paraId="53179F63" w14:textId="77777777" w:rsidR="00066EC8" w:rsidRDefault="00066EC8"/>
        </w:tc>
        <w:tc>
          <w:tcPr>
            <w:tcW w:w="1980" w:type="dxa"/>
          </w:tcPr>
          <w:p w14:paraId="4C4A884F" w14:textId="77777777" w:rsidR="00066EC8" w:rsidRDefault="00000000">
            <w:pPr>
              <w:pStyle w:val="Compact"/>
            </w:pPr>
            <w:r>
              <w:t>Get Summary</w:t>
            </w:r>
          </w:p>
        </w:tc>
        <w:tc>
          <w:tcPr>
            <w:tcW w:w="1980" w:type="dxa"/>
          </w:tcPr>
          <w:p w14:paraId="625C1564" w14:textId="77777777" w:rsidR="00066EC8" w:rsidRDefault="00000000">
            <w:pPr>
              <w:pStyle w:val="Compact"/>
            </w:pPr>
            <w:r>
              <w:t>REQUEST_RESPONSE</w:t>
            </w:r>
          </w:p>
        </w:tc>
        <w:tc>
          <w:tcPr>
            <w:tcW w:w="1980" w:type="dxa"/>
          </w:tcPr>
          <w:p w14:paraId="01AD7D3E" w14:textId="77777777" w:rsidR="00066EC8" w:rsidRDefault="00000000">
            <w:pPr>
              <w:pStyle w:val="Compact"/>
            </w:pPr>
            <w:r>
              <w:t>Operation to (pull) ask for a list of summary information on the AtoN datasets made available by producer.</w:t>
            </w:r>
          </w:p>
        </w:tc>
      </w:tr>
      <w:tr w:rsidR="00066EC8" w14:paraId="4C0F3346" w14:textId="77777777">
        <w:tc>
          <w:tcPr>
            <w:tcW w:w="1980" w:type="dxa"/>
            <w:vMerge w:val="restart"/>
          </w:tcPr>
          <w:p w14:paraId="5C5E5DC8" w14:textId="77777777" w:rsidR="00066EC8" w:rsidRDefault="00000000">
            <w:pPr>
              <w:pStyle w:val="Compact"/>
            </w:pPr>
            <w:r>
              <w:t>SUBSCRIPTION</w:t>
            </w:r>
          </w:p>
        </w:tc>
        <w:tc>
          <w:tcPr>
            <w:tcW w:w="1980" w:type="dxa"/>
          </w:tcPr>
          <w:p w14:paraId="2B409EF2" w14:textId="77777777" w:rsidR="00066EC8" w:rsidRDefault="00000000">
            <w:pPr>
              <w:pStyle w:val="Compact"/>
            </w:pPr>
            <w:r>
              <w:t>Subscription</w:t>
            </w:r>
          </w:p>
        </w:tc>
        <w:tc>
          <w:tcPr>
            <w:tcW w:w="1980" w:type="dxa"/>
          </w:tcPr>
          <w:p w14:paraId="691E62DB" w14:textId="77777777" w:rsidR="00066EC8" w:rsidRDefault="00000000">
            <w:pPr>
              <w:pStyle w:val="Compact"/>
            </w:pPr>
            <w:r>
              <w:t>REQUEST_CALLBACK</w:t>
            </w:r>
          </w:p>
        </w:tc>
        <w:tc>
          <w:tcPr>
            <w:tcW w:w="1980" w:type="dxa"/>
          </w:tcPr>
          <w:p w14:paraId="4DC36D8F" w14:textId="77777777" w:rsidR="00066EC8" w:rsidRDefault="00000000">
            <w:pPr>
              <w:pStyle w:val="Compact"/>
            </w:pPr>
            <w:r>
              <w:t>Operation to create subscriptions on specific AtoN datasets. Relevant Client operations:</w:t>
            </w:r>
          </w:p>
          <w:p w14:paraId="5D4EE668" w14:textId="77777777" w:rsidR="00066EC8" w:rsidRDefault="00000000">
            <w:pPr>
              <w:pStyle w:val="Compact"/>
              <w:numPr>
                <w:ilvl w:val="0"/>
                <w:numId w:val="80"/>
              </w:numPr>
            </w:pPr>
            <w:r>
              <w:t>Subscription Notification</w:t>
            </w:r>
          </w:p>
          <w:p w14:paraId="36EA0D5B" w14:textId="77777777" w:rsidR="00066EC8" w:rsidRDefault="00000000">
            <w:pPr>
              <w:pStyle w:val="Compact"/>
              <w:numPr>
                <w:ilvl w:val="0"/>
                <w:numId w:val="80"/>
              </w:numPr>
            </w:pPr>
            <w:r>
              <w:t>Upload</w:t>
            </w:r>
          </w:p>
        </w:tc>
      </w:tr>
      <w:tr w:rsidR="00066EC8" w14:paraId="70604672" w14:textId="77777777">
        <w:tc>
          <w:tcPr>
            <w:tcW w:w="1980" w:type="dxa"/>
            <w:vMerge/>
          </w:tcPr>
          <w:p w14:paraId="7E2EEEC0" w14:textId="77777777" w:rsidR="00066EC8" w:rsidRDefault="00066EC8"/>
        </w:tc>
        <w:tc>
          <w:tcPr>
            <w:tcW w:w="1980" w:type="dxa"/>
          </w:tcPr>
          <w:p w14:paraId="698A3249" w14:textId="77777777" w:rsidR="00066EC8" w:rsidRDefault="00000000">
            <w:pPr>
              <w:pStyle w:val="Compact"/>
            </w:pPr>
            <w:r>
              <w:t>Remove Subscription</w:t>
            </w:r>
          </w:p>
        </w:tc>
        <w:tc>
          <w:tcPr>
            <w:tcW w:w="1980" w:type="dxa"/>
          </w:tcPr>
          <w:p w14:paraId="75B80224" w14:textId="77777777" w:rsidR="00066EC8" w:rsidRDefault="00000000">
            <w:pPr>
              <w:pStyle w:val="Compact"/>
            </w:pPr>
            <w:r>
              <w:t>REQUEST_CALLBACK</w:t>
            </w:r>
          </w:p>
        </w:tc>
        <w:tc>
          <w:tcPr>
            <w:tcW w:w="1980" w:type="dxa"/>
          </w:tcPr>
          <w:p w14:paraId="2F37274D" w14:textId="77777777" w:rsidR="00066EC8" w:rsidRDefault="00000000">
            <w:pPr>
              <w:pStyle w:val="Compact"/>
            </w:pPr>
            <w:r>
              <w:t>Operation to remove existing subscriptions. Relevant Client operations:</w:t>
            </w:r>
          </w:p>
          <w:p w14:paraId="71EB7123" w14:textId="77777777" w:rsidR="00066EC8" w:rsidRDefault="00000000">
            <w:pPr>
              <w:pStyle w:val="Compact"/>
              <w:numPr>
                <w:ilvl w:val="0"/>
                <w:numId w:val="80"/>
              </w:numPr>
            </w:pPr>
            <w:r>
              <w:t>Subscription Notification</w:t>
            </w:r>
          </w:p>
        </w:tc>
      </w:tr>
    </w:tbl>
    <w:p w14:paraId="387B71A2" w14:textId="77777777" w:rsidR="00066EC8" w:rsidRDefault="00066EC8"/>
    <w:p w14:paraId="72C3352E" w14:textId="77777777" w:rsidR="00066EC8" w:rsidRDefault="00000000">
      <w:pPr>
        <w:pStyle w:val="TableCaption"/>
      </w:pPr>
      <w:bookmarkStart w:id="62" w:name="_Toc225158441"/>
      <w:r>
        <w:t>Consumer (Client) Operations Overview.</w:t>
      </w:r>
      <w:bookmarkEnd w:id="62"/>
    </w:p>
    <w:tbl>
      <w:tblPr>
        <w:tblStyle w:val="Table"/>
        <w:tblW w:w="0" w:type="auto"/>
        <w:tblLook w:val="0020" w:firstRow="1" w:lastRow="0" w:firstColumn="0" w:lastColumn="0" w:noHBand="0" w:noVBand="0"/>
        <w:tblCaption w:val="Consumer (Client) Operations Overview."/>
      </w:tblPr>
      <w:tblGrid>
        <w:gridCol w:w="1416"/>
        <w:gridCol w:w="1274"/>
        <w:gridCol w:w="2050"/>
        <w:gridCol w:w="5455"/>
      </w:tblGrid>
      <w:tr w:rsidR="00066EC8" w14:paraId="3F7400EB"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45DC240A" w14:textId="77777777" w:rsidR="00066EC8" w:rsidRDefault="00066EC8">
            <w:pPr>
              <w:pStyle w:val="Compact"/>
            </w:pPr>
          </w:p>
        </w:tc>
        <w:tc>
          <w:tcPr>
            <w:tcW w:w="0" w:type="auto"/>
          </w:tcPr>
          <w:p w14:paraId="295F7710" w14:textId="77777777" w:rsidR="00066EC8" w:rsidRDefault="00000000">
            <w:pPr>
              <w:pStyle w:val="Compact"/>
            </w:pPr>
            <w:r>
              <w:t>Client Operation</w:t>
            </w:r>
          </w:p>
        </w:tc>
        <w:tc>
          <w:tcPr>
            <w:tcW w:w="0" w:type="auto"/>
          </w:tcPr>
          <w:p w14:paraId="4E677C13" w14:textId="77777777" w:rsidR="00066EC8" w:rsidRDefault="00000000">
            <w:pPr>
              <w:pStyle w:val="Compact"/>
            </w:pPr>
            <w:r>
              <w:t>Exchange Pattern</w:t>
            </w:r>
          </w:p>
        </w:tc>
        <w:tc>
          <w:tcPr>
            <w:tcW w:w="0" w:type="auto"/>
          </w:tcPr>
          <w:p w14:paraId="730FC7E1" w14:textId="77777777" w:rsidR="00066EC8" w:rsidRDefault="00000000">
            <w:pPr>
              <w:pStyle w:val="Compact"/>
            </w:pPr>
            <w:r>
              <w:t>Definition</w:t>
            </w:r>
          </w:p>
        </w:tc>
      </w:tr>
      <w:tr w:rsidR="00066EC8" w14:paraId="5BF09BA5" w14:textId="77777777">
        <w:tc>
          <w:tcPr>
            <w:tcW w:w="0" w:type="auto"/>
          </w:tcPr>
          <w:p w14:paraId="60540CB6" w14:textId="77777777" w:rsidR="00066EC8" w:rsidRDefault="00000000">
            <w:pPr>
              <w:pStyle w:val="Compact"/>
            </w:pPr>
            <w:r>
              <w:t>PUSH</w:t>
            </w:r>
          </w:p>
        </w:tc>
        <w:tc>
          <w:tcPr>
            <w:tcW w:w="0" w:type="auto"/>
          </w:tcPr>
          <w:p w14:paraId="13789E0D" w14:textId="77777777" w:rsidR="00066EC8" w:rsidRDefault="00000000">
            <w:pPr>
              <w:pStyle w:val="Compact"/>
            </w:pPr>
            <w:r>
              <w:t>Upload</w:t>
            </w:r>
          </w:p>
        </w:tc>
        <w:tc>
          <w:tcPr>
            <w:tcW w:w="0" w:type="auto"/>
          </w:tcPr>
          <w:p w14:paraId="15541CD6" w14:textId="77777777" w:rsidR="00066EC8" w:rsidRDefault="00000000">
            <w:pPr>
              <w:pStyle w:val="Compact"/>
            </w:pPr>
            <w:r>
              <w:t>ONE_WAY or REQUEST_CALLBACK</w:t>
            </w:r>
          </w:p>
        </w:tc>
        <w:tc>
          <w:tcPr>
            <w:tcW w:w="0" w:type="auto"/>
          </w:tcPr>
          <w:p w14:paraId="56E2F57D" w14:textId="77777777" w:rsidR="00066EC8" w:rsidRDefault="00000000">
            <w:pPr>
              <w:pStyle w:val="Compact"/>
            </w:pPr>
            <w:r>
              <w:t>Operation for (pushing) uploading information to consumer. An acknowledgement whether the data have been successfully received and/or processed can optionally be requested.</w:t>
            </w:r>
          </w:p>
        </w:tc>
      </w:tr>
      <w:tr w:rsidR="00066EC8" w14:paraId="65B0F685" w14:textId="77777777">
        <w:tc>
          <w:tcPr>
            <w:tcW w:w="0" w:type="auto"/>
          </w:tcPr>
          <w:p w14:paraId="388FDD9C" w14:textId="77777777" w:rsidR="00066EC8" w:rsidRDefault="00000000">
            <w:pPr>
              <w:pStyle w:val="Compact"/>
            </w:pPr>
            <w:r>
              <w:t>SUBSCRIPTION</w:t>
            </w:r>
          </w:p>
        </w:tc>
        <w:tc>
          <w:tcPr>
            <w:tcW w:w="0" w:type="auto"/>
          </w:tcPr>
          <w:p w14:paraId="02358D41" w14:textId="77777777" w:rsidR="00066EC8" w:rsidRDefault="00000000">
            <w:pPr>
              <w:pStyle w:val="Compact"/>
            </w:pPr>
            <w:r>
              <w:t>Subscription</w:t>
            </w:r>
          </w:p>
        </w:tc>
        <w:tc>
          <w:tcPr>
            <w:tcW w:w="0" w:type="auto"/>
          </w:tcPr>
          <w:p w14:paraId="5B78B973" w14:textId="77777777" w:rsidR="00066EC8" w:rsidRDefault="00000000">
            <w:pPr>
              <w:pStyle w:val="Compact"/>
            </w:pPr>
            <w:r>
              <w:t>ONE_WAY</w:t>
            </w:r>
          </w:p>
        </w:tc>
        <w:tc>
          <w:tcPr>
            <w:tcW w:w="0" w:type="auto"/>
          </w:tcPr>
          <w:p w14:paraId="416F4B85" w14:textId="77777777" w:rsidR="00066EC8" w:rsidRDefault="00000000">
            <w:pPr>
              <w:pStyle w:val="Compact"/>
            </w:pPr>
            <w:r>
              <w:t>Operation for notification from subscription events. The implementation of a separate subscription notification operation on the AtoN Service clients is not necessarily required, depending on the choice of the underlying technology. When the subscription status information can be embedded onto the data upload operation, this operation may be omitted.</w:t>
            </w:r>
          </w:p>
        </w:tc>
      </w:tr>
    </w:tbl>
    <w:p w14:paraId="50EE37EA" w14:textId="77777777" w:rsidR="00066EC8" w:rsidRDefault="00000000">
      <w:pPr>
        <w:pStyle w:val="Heading2"/>
      </w:pPr>
      <w:bookmarkStart w:id="63" w:name="sec:service_operations"/>
      <w:bookmarkStart w:id="64" w:name="_Toc225158528"/>
      <w:bookmarkEnd w:id="56"/>
      <w:r>
        <w:t>Service Operations</w:t>
      </w:r>
      <w:bookmarkEnd w:id="64"/>
    </w:p>
    <w:p w14:paraId="5DE3DF8D" w14:textId="77777777" w:rsidR="00066EC8" w:rsidRDefault="00000000">
      <w:pPr>
        <w:pStyle w:val="FirstParagraph"/>
      </w:pPr>
      <w:r>
        <w:t>This section describes the details of each service operation, along with the relevant parameter definitions. To establish a service for the exchange of AtoN information, information is mainly provided by the service provider and is requested from the service consumer via the interfaces of the service provider. However, requirement S-125R009 states that a consumer must also be able to subscribe to updates of the service information. On the technical level, this may be realized in different ways. For example, the SECOM standard [4] requires the consumer to expose interfaces, to which new information can be pushed directly. Other technical designs may use a message broker as a middleware between consumer and provider, such that the consumer must not expose any public interfaces. For this reason, the respective consumer operations are modelled separately at the end of this section and may be implemented by other technical means as the service provider’s operations.</w:t>
      </w:r>
    </w:p>
    <w:p w14:paraId="0A04125F" w14:textId="77777777" w:rsidR="00066EC8" w:rsidRDefault="00000000">
      <w:pPr>
        <w:pStyle w:val="BodyText"/>
      </w:pPr>
      <w:r>
        <w:t xml:space="preserve">To ensure the integrity of the transmitted information, responses or requests from the service provider must be signed digitally by the service provider independently from the signature that is applied to the S-125 dataset itself. </w:t>
      </w:r>
      <w:r>
        <w:lastRenderedPageBreak/>
        <w:t>The transmitted data may also be encrypted for transport. The authentication mechanism for service consumers is left as an implementation decision to the service provider.</w:t>
      </w:r>
    </w:p>
    <w:p w14:paraId="59417A70" w14:textId="77777777" w:rsidR="00066EC8" w:rsidRDefault="00000000">
      <w:pPr>
        <w:pStyle w:val="BodyText"/>
      </w:pPr>
      <w:r>
        <w:t>Furthermore, operations that are used internally by an AtoN information service provider to transfer AtoN information datasets from an internal information management system to the specified service are not discussed, as they are specific to those systems and not relevant for consumers of the service.</w:t>
      </w:r>
    </w:p>
    <w:p w14:paraId="4002EFCE" w14:textId="77777777" w:rsidR="00066EC8" w:rsidRDefault="00000000">
      <w:pPr>
        <w:pStyle w:val="BodyText"/>
      </w:pPr>
      <w:r>
        <w:t>This section covers only the static design description, while the dynamic design (behaviour) is described in Section 7. The operations are designed to be compliant to the SECOM standard on a basic level. However, the SECOM standard explicitly prescribes the usage of certain technologies (such as REST). Therefore, this service specification provides an abstraction layer above SECOM that makes it possible to also realize the operations with different technology stacks.</w:t>
      </w:r>
    </w:p>
    <w:p w14:paraId="4BB698DD" w14:textId="77777777" w:rsidR="00066EC8" w:rsidRDefault="00000000">
      <w:pPr>
        <w:pStyle w:val="Heading3"/>
      </w:pPr>
      <w:bookmarkStart w:id="65" w:name="sec:get_operation"/>
      <w:bookmarkStart w:id="66" w:name="_Toc225158529"/>
      <w:r>
        <w:t>Get Operation</w:t>
      </w:r>
      <w:bookmarkEnd w:id="66"/>
    </w:p>
    <w:p w14:paraId="371326C2" w14:textId="77777777" w:rsidR="00066EC8" w:rsidRDefault="00000000">
      <w:pPr>
        <w:pStyle w:val="FirstParagraph"/>
      </w:pPr>
      <w:r>
        <w:t xml:space="preserve">The </w:t>
      </w:r>
      <w:r>
        <w:rPr>
          <w:i/>
          <w:iCs/>
        </w:rPr>
        <w:t>Get</w:t>
      </w:r>
      <w:r>
        <w:t xml:space="preserve"> operation is used by service consumers for filtering and retrieving AtoN information from a service provider, e.g. S-125 datasets that are applicable for a specified geographical area. The consumer can also filter the requested S-125 dataset results by a specific dataset reference identifier, a time period, an area name etc.</w:t>
      </w:r>
    </w:p>
    <w:p w14:paraId="74C2BD76" w14:textId="77777777" w:rsidR="00066EC8" w:rsidRDefault="00000000">
      <w:pPr>
        <w:pStyle w:val="CaptionedFigure"/>
      </w:pPr>
      <w:r>
        <w:rPr>
          <w:noProof/>
        </w:rPr>
        <w:drawing>
          <wp:inline distT="0" distB="0" distL="0" distR="0" wp14:anchorId="58A01C54" wp14:editId="116BA1FA">
            <wp:extent cx="4857750" cy="1412204"/>
            <wp:effectExtent l="0" t="0" r="0" b="0"/>
            <wp:docPr id="5" name="Picture" descr="Get operation."/>
            <wp:cNvGraphicFramePr/>
            <a:graphic xmlns:a="http://schemas.openxmlformats.org/drawingml/2006/main">
              <a:graphicData uri="http://schemas.openxmlformats.org/drawingml/2006/picture">
                <pic:pic xmlns:pic="http://schemas.openxmlformats.org/drawingml/2006/picture">
                  <pic:nvPicPr>
                    <pic:cNvPr id="5" name="Picture" descr="source/guideline/../../resources/GetInterface.png"/>
                    <pic:cNvPicPr>
                      <a:picLocks noChangeAspect="1" noChangeArrowheads="1"/>
                    </pic:cNvPicPr>
                  </pic:nvPicPr>
                  <pic:blipFill>
                    <a:blip r:embed="rId30"/>
                    <a:stretch>
                      <a:fillRect/>
                    </a:stretch>
                  </pic:blipFill>
                  <pic:spPr bwMode="auto">
                    <a:xfrm>
                      <a:off x="0" y="0"/>
                      <a:ext cx="4857750" cy="1412204"/>
                    </a:xfrm>
                    <a:prstGeom prst="rect">
                      <a:avLst/>
                    </a:prstGeom>
                    <a:noFill/>
                    <a:ln w="9525">
                      <a:noFill/>
                      <a:headEnd/>
                      <a:tailEnd/>
                    </a:ln>
                  </pic:spPr>
                </pic:pic>
              </a:graphicData>
            </a:graphic>
          </wp:inline>
        </w:drawing>
      </w:r>
    </w:p>
    <w:p w14:paraId="6DEB41AA" w14:textId="77777777" w:rsidR="00066EC8" w:rsidRDefault="00000000">
      <w:pPr>
        <w:pStyle w:val="ImageCaption"/>
      </w:pPr>
      <w:bookmarkStart w:id="67" w:name="_Toc225158547"/>
      <w:r>
        <w:t>Get operation.</w:t>
      </w:r>
      <w:bookmarkEnd w:id="67"/>
    </w:p>
    <w:p w14:paraId="754302E0" w14:textId="77777777" w:rsidR="00066EC8" w:rsidRDefault="00000000">
      <w:pPr>
        <w:pStyle w:val="Heading4"/>
      </w:pPr>
      <w:bookmarkStart w:id="68" w:name="sec:get_operation_functionality"/>
      <w:r>
        <w:t>Operation Functionality</w:t>
      </w:r>
    </w:p>
    <w:p w14:paraId="26D24FC6" w14:textId="77777777" w:rsidR="00066EC8" w:rsidRDefault="00000000">
      <w:pPr>
        <w:pStyle w:val="FirstParagraph"/>
      </w:pPr>
      <w:r>
        <w:t xml:space="preserve">This operation can be used for filtering and retrieving S-125 datasets from a service provider. It follows a request-response paradigm (REQUEST_RESPONSE), where a client queries the server, and based on a set of filtering criteria, receives an appropriate response back. The service response must be packaged as an S-100 Exchange Set, which contains all applicable S-125 datasets that match all the provided operation parameters, alongside any necessary metadata and support information. Other packaging formats are not supported by ECDIS and therefore are not included in this service specification. Each S-125 dataset contained in the response should include all AtoN entries allocated to it, </w:t>
      </w:r>
      <w:r>
        <w:rPr>
          <w:b/>
          <w:bCs/>
        </w:rPr>
        <w:t>not</w:t>
      </w:r>
      <w:r>
        <w:t xml:space="preserve"> just the ones matching the operation parameters.</w:t>
      </w:r>
    </w:p>
    <w:p w14:paraId="6D4B3745" w14:textId="77777777" w:rsidR="00066EC8" w:rsidRDefault="00000000">
      <w:pPr>
        <w:pStyle w:val="BodyText"/>
      </w:pPr>
      <w:r>
        <w:t>If multiple operation parameters are provided, only the results matching all requested filters are to be returned. If no operation parameters are provided, the response should include all datasets currently available in the service provider. A service provider may offer different encodings of AtoN information in accordance with the S-100 standard, which can be specified as an enumeration (XML/GML or binary). A service provider is required to offer at least one of the available encodings.</w:t>
      </w:r>
    </w:p>
    <w:p w14:paraId="799431D2" w14:textId="77777777" w:rsidR="00066EC8" w:rsidRDefault="00000000">
      <w:pPr>
        <w:pStyle w:val="BodyText"/>
      </w:pPr>
      <w:r>
        <w:t xml:space="preserve">All instances of services providing AtoN information are required to support all operation parameters presented in the following sub-section Section 4.2.1.2, apart from the </w:t>
      </w:r>
      <w:r>
        <w:rPr>
          <w:rStyle w:val="VerbatimChar"/>
        </w:rPr>
        <w:t>&lt;TimePeriod&gt;</w:t>
      </w:r>
      <w:r>
        <w:t xml:space="preserve"> which is optional. The specific encodings are left to be decided by the service technical design specification. In most cases the parameter description provides an adequate definition.</w:t>
      </w:r>
    </w:p>
    <w:p w14:paraId="45484AE3" w14:textId="77777777" w:rsidR="00066EC8" w:rsidRDefault="00000000">
      <w:pPr>
        <w:pStyle w:val="Heading4"/>
      </w:pPr>
      <w:bookmarkStart w:id="69" w:name="sec:get_operation_parameters"/>
      <w:bookmarkEnd w:id="58"/>
      <w:r>
        <w:lastRenderedPageBreak/>
        <w:t>Operation Parameters</w:t>
      </w:r>
    </w:p>
    <w:p w14:paraId="016DBB36" w14:textId="77777777" w:rsidR="00066EC8" w:rsidRDefault="00000000">
      <w:pPr>
        <w:pStyle w:val="TableCaption"/>
      </w:pPr>
      <w:bookmarkStart w:id="70" w:name="tbl:get_operational_parameters"/>
      <w:bookmarkStart w:id="71" w:name="_Toc225158442"/>
      <w:r>
        <w:t>The Get Operation Parameters.</w:t>
      </w:r>
      <w:bookmarkEnd w:id="71"/>
    </w:p>
    <w:tbl>
      <w:tblPr>
        <w:tblStyle w:val="Table"/>
        <w:tblW w:w="5000" w:type="pct"/>
        <w:tblLayout w:type="fixed"/>
        <w:tblLook w:val="0020" w:firstRow="1" w:lastRow="0" w:firstColumn="0" w:lastColumn="0" w:noHBand="0" w:noVBand="0"/>
        <w:tblCaption w:val="The Get Operation Parameters."/>
      </w:tblPr>
      <w:tblGrid>
        <w:gridCol w:w="2548"/>
        <w:gridCol w:w="2549"/>
        <w:gridCol w:w="2549"/>
        <w:gridCol w:w="2549"/>
      </w:tblGrid>
      <w:tr w:rsidR="00066EC8" w14:paraId="791FC8D9"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69B3CACD" w14:textId="77777777" w:rsidR="00066EC8" w:rsidRDefault="00000000">
            <w:pPr>
              <w:pStyle w:val="Compact"/>
            </w:pPr>
            <w:r>
              <w:t>Parameters (in)</w:t>
            </w:r>
          </w:p>
        </w:tc>
        <w:tc>
          <w:tcPr>
            <w:tcW w:w="1980" w:type="dxa"/>
          </w:tcPr>
          <w:p w14:paraId="3177FF8E" w14:textId="77777777" w:rsidR="00066EC8" w:rsidRDefault="00000000">
            <w:pPr>
              <w:pStyle w:val="Compact"/>
            </w:pPr>
            <w:r>
              <w:t>Encoding</w:t>
            </w:r>
          </w:p>
        </w:tc>
        <w:tc>
          <w:tcPr>
            <w:tcW w:w="1980" w:type="dxa"/>
          </w:tcPr>
          <w:p w14:paraId="6393AACC" w14:textId="77777777" w:rsidR="00066EC8" w:rsidRDefault="00000000">
            <w:pPr>
              <w:pStyle w:val="Compact"/>
            </w:pPr>
            <w:r>
              <w:t>Mult.</w:t>
            </w:r>
          </w:p>
        </w:tc>
        <w:tc>
          <w:tcPr>
            <w:tcW w:w="1980" w:type="dxa"/>
          </w:tcPr>
          <w:p w14:paraId="330C4780" w14:textId="77777777" w:rsidR="00066EC8" w:rsidRDefault="00000000">
            <w:pPr>
              <w:pStyle w:val="Compact"/>
            </w:pPr>
            <w:r>
              <w:t>Descriptions</w:t>
            </w:r>
          </w:p>
        </w:tc>
      </w:tr>
      <w:tr w:rsidR="00066EC8" w14:paraId="09D4958E" w14:textId="77777777">
        <w:tc>
          <w:tcPr>
            <w:tcW w:w="1980" w:type="dxa"/>
          </w:tcPr>
          <w:p w14:paraId="53691462" w14:textId="77777777" w:rsidR="00066EC8" w:rsidRDefault="00000000">
            <w:pPr>
              <w:pStyle w:val="Compact"/>
            </w:pPr>
            <w:r>
              <w:t>DatasetReference</w:t>
            </w:r>
          </w:p>
        </w:tc>
        <w:tc>
          <w:tcPr>
            <w:tcW w:w="1980" w:type="dxa"/>
          </w:tcPr>
          <w:p w14:paraId="013FCEA5" w14:textId="77777777" w:rsidR="00066EC8" w:rsidRDefault="00000000">
            <w:pPr>
              <w:pStyle w:val="Compact"/>
            </w:pPr>
            <w:r>
              <w:t>See technical design</w:t>
            </w:r>
          </w:p>
        </w:tc>
        <w:tc>
          <w:tcPr>
            <w:tcW w:w="1980" w:type="dxa"/>
          </w:tcPr>
          <w:p w14:paraId="07E737A8" w14:textId="77777777" w:rsidR="00066EC8" w:rsidRDefault="00000000">
            <w:pPr>
              <w:pStyle w:val="Compact"/>
            </w:pPr>
            <w:r>
              <w:t>0..1</w:t>
            </w:r>
          </w:p>
        </w:tc>
        <w:tc>
          <w:tcPr>
            <w:tcW w:w="1980" w:type="dxa"/>
          </w:tcPr>
          <w:p w14:paraId="4C4EE5D9" w14:textId="77777777" w:rsidR="00066EC8" w:rsidRDefault="00000000">
            <w:pPr>
              <w:pStyle w:val="Compact"/>
            </w:pPr>
            <w:r>
              <w:t>The dataset identifier of a specific S-125 dataset. A list of all supported references can be retrieved via Get Summary operation. If no references are provided, it’s up to the service to decide what to return.</w:t>
            </w:r>
          </w:p>
        </w:tc>
      </w:tr>
      <w:tr w:rsidR="00066EC8" w14:paraId="139A5FB7" w14:textId="77777777">
        <w:tc>
          <w:tcPr>
            <w:tcW w:w="1980" w:type="dxa"/>
          </w:tcPr>
          <w:p w14:paraId="3B7A30F8" w14:textId="77777777" w:rsidR="00066EC8" w:rsidRDefault="00000000">
            <w:pPr>
              <w:pStyle w:val="Compact"/>
            </w:pPr>
            <w:r>
              <w:t>Geometry</w:t>
            </w:r>
          </w:p>
        </w:tc>
        <w:tc>
          <w:tcPr>
            <w:tcW w:w="1980" w:type="dxa"/>
          </w:tcPr>
          <w:p w14:paraId="59B55F67" w14:textId="77777777" w:rsidR="00066EC8" w:rsidRDefault="00000000">
            <w:pPr>
              <w:pStyle w:val="Compact"/>
            </w:pPr>
            <w:r>
              <w:t>See technical design</w:t>
            </w:r>
          </w:p>
        </w:tc>
        <w:tc>
          <w:tcPr>
            <w:tcW w:w="1980" w:type="dxa"/>
          </w:tcPr>
          <w:p w14:paraId="1E19CCEF" w14:textId="77777777" w:rsidR="00066EC8" w:rsidRDefault="00000000">
            <w:pPr>
              <w:pStyle w:val="Compact"/>
            </w:pPr>
            <w:r>
              <w:t>0..1</w:t>
            </w:r>
          </w:p>
        </w:tc>
        <w:tc>
          <w:tcPr>
            <w:tcW w:w="1980" w:type="dxa"/>
          </w:tcPr>
          <w:p w14:paraId="5ED7B07C" w14:textId="77777777" w:rsidR="00066EC8" w:rsidRDefault="00000000">
            <w:pPr>
              <w:pStyle w:val="Compact"/>
            </w:pPr>
            <w:r>
              <w:t>Geometry condition for geolocated information objects. This can be used to filter on geometric shapes (e.g. filter AtoN information S-125 datasets by a bounding box).</w:t>
            </w:r>
          </w:p>
        </w:tc>
      </w:tr>
      <w:tr w:rsidR="00066EC8" w14:paraId="1EA36121" w14:textId="77777777">
        <w:tc>
          <w:tcPr>
            <w:tcW w:w="1980" w:type="dxa"/>
          </w:tcPr>
          <w:p w14:paraId="24569AB7" w14:textId="77777777" w:rsidR="00066EC8" w:rsidRDefault="00000000">
            <w:pPr>
              <w:pStyle w:val="Compact"/>
            </w:pPr>
            <w:r>
              <w:t>unlocode</w:t>
            </w:r>
          </w:p>
        </w:tc>
        <w:tc>
          <w:tcPr>
            <w:tcW w:w="1980" w:type="dxa"/>
          </w:tcPr>
          <w:p w14:paraId="297A30E7" w14:textId="77777777" w:rsidR="00066EC8" w:rsidRDefault="00000000">
            <w:pPr>
              <w:pStyle w:val="Compact"/>
            </w:pPr>
            <w:r>
              <w:t>See technical design</w:t>
            </w:r>
          </w:p>
        </w:tc>
        <w:tc>
          <w:tcPr>
            <w:tcW w:w="1980" w:type="dxa"/>
          </w:tcPr>
          <w:p w14:paraId="4FB2E043" w14:textId="77777777" w:rsidR="00066EC8" w:rsidRDefault="00000000">
            <w:pPr>
              <w:pStyle w:val="Compact"/>
            </w:pPr>
            <w:r>
              <w:t>0..1</w:t>
            </w:r>
          </w:p>
        </w:tc>
        <w:tc>
          <w:tcPr>
            <w:tcW w:w="1980" w:type="dxa"/>
          </w:tcPr>
          <w:p w14:paraId="1C525C15" w14:textId="77777777" w:rsidR="00066EC8" w:rsidRDefault="00000000">
            <w:pPr>
              <w:pStyle w:val="Compact"/>
            </w:pPr>
            <w:r>
              <w:t>UN/LOCODE (United Nations Code for Trade and Transport Locations) of a defined object (e.g., “CN” for China).</w:t>
            </w:r>
          </w:p>
        </w:tc>
      </w:tr>
      <w:tr w:rsidR="00066EC8" w14:paraId="2848EBE7" w14:textId="77777777">
        <w:tc>
          <w:tcPr>
            <w:tcW w:w="1980" w:type="dxa"/>
          </w:tcPr>
          <w:p w14:paraId="7CD1FE1C" w14:textId="77777777" w:rsidR="00066EC8" w:rsidRDefault="00000000">
            <w:pPr>
              <w:pStyle w:val="Compact"/>
            </w:pPr>
            <w:r>
              <w:t>TimePeriod (Optional)</w:t>
            </w:r>
          </w:p>
        </w:tc>
        <w:tc>
          <w:tcPr>
            <w:tcW w:w="1980" w:type="dxa"/>
          </w:tcPr>
          <w:p w14:paraId="1F0E712F" w14:textId="77777777" w:rsidR="00066EC8" w:rsidRDefault="00000000">
            <w:pPr>
              <w:pStyle w:val="Compact"/>
            </w:pPr>
            <w:r>
              <w:t>See technical design</w:t>
            </w:r>
          </w:p>
        </w:tc>
        <w:tc>
          <w:tcPr>
            <w:tcW w:w="1980" w:type="dxa"/>
          </w:tcPr>
          <w:p w14:paraId="0818D90A" w14:textId="77777777" w:rsidR="00066EC8" w:rsidRDefault="00000000">
            <w:pPr>
              <w:pStyle w:val="Compact"/>
            </w:pPr>
            <w:r>
              <w:t>0..1</w:t>
            </w:r>
          </w:p>
        </w:tc>
        <w:tc>
          <w:tcPr>
            <w:tcW w:w="1980" w:type="dxa"/>
          </w:tcPr>
          <w:p w14:paraId="3C4B1A9E" w14:textId="77777777" w:rsidR="00066EC8" w:rsidRDefault="00000000">
            <w:pPr>
              <w:pStyle w:val="Compact"/>
            </w:pPr>
            <w:r>
              <w:t>An optional parameter denoting the time period (ValidFrom, ValidTo) in which a dataset is valid and becomes subject to changes. The service response is expected to encompass all modifications that occurred within the specified interval and should be provided in the form of complete datasets or delta files, adhering to the specifications outlined in the S-100 data model specification.</w:t>
            </w:r>
          </w:p>
        </w:tc>
      </w:tr>
    </w:tbl>
    <w:p w14:paraId="108EC1DB" w14:textId="77777777" w:rsidR="00066EC8" w:rsidRDefault="00000000">
      <w:pPr>
        <w:pStyle w:val="Heading3"/>
      </w:pPr>
      <w:bookmarkStart w:id="72" w:name="sec:get_summary_operation"/>
      <w:bookmarkStart w:id="73" w:name="_Toc225158530"/>
      <w:bookmarkEnd w:id="63"/>
      <w:bookmarkEnd w:id="65"/>
      <w:bookmarkEnd w:id="68"/>
      <w:r>
        <w:t>Get Summary Operation</w:t>
      </w:r>
      <w:bookmarkEnd w:id="73"/>
    </w:p>
    <w:p w14:paraId="4FAFA63B" w14:textId="77777777" w:rsidR="00066EC8" w:rsidRDefault="00000000">
      <w:pPr>
        <w:pStyle w:val="FirstParagraph"/>
      </w:pPr>
      <w:r>
        <w:t xml:space="preserve">The </w:t>
      </w:r>
      <w:r>
        <w:rPr>
          <w:i/>
          <w:iCs/>
        </w:rPr>
        <w:t>Get Summary operation</w:t>
      </w:r>
      <w:r>
        <w:t xml:space="preserve"> is used by service consumers for retrieving a list of summary information (without the actual dataset contents), in order to discover which S-125 datasets are being currently made available (and are accessible) by a service provider. The service provider will respond by listing the available (and accessible) S-125 datasets that are of interest to the consumer. This list should only contain summary information on each dataset, not the dataset content itself. The dataset reference identifiers can be used to retrieve the full S-125 datasets via the Get operation. The consumer can filter the requested S-125 dataset summary results by a specific dataset identifier reference, a geometry, a time period, an area name etc.</w:t>
      </w:r>
    </w:p>
    <w:p w14:paraId="2088FDB4" w14:textId="77777777" w:rsidR="00066EC8" w:rsidRDefault="00000000">
      <w:pPr>
        <w:pStyle w:val="CaptionedFigure"/>
      </w:pPr>
      <w:r>
        <w:rPr>
          <w:noProof/>
        </w:rPr>
        <w:lastRenderedPageBreak/>
        <w:drawing>
          <wp:inline distT="0" distB="0" distL="0" distR="0" wp14:anchorId="6931B707" wp14:editId="33478520">
            <wp:extent cx="6477000" cy="1865063"/>
            <wp:effectExtent l="0" t="0" r="0" b="0"/>
            <wp:docPr id="6" name="Picture" descr="Get Summary operation."/>
            <wp:cNvGraphicFramePr/>
            <a:graphic xmlns:a="http://schemas.openxmlformats.org/drawingml/2006/main">
              <a:graphicData uri="http://schemas.openxmlformats.org/drawingml/2006/picture">
                <pic:pic xmlns:pic="http://schemas.openxmlformats.org/drawingml/2006/picture">
                  <pic:nvPicPr>
                    <pic:cNvPr id="6" name="Picture" descr="source/guideline/../../resources/GetSummaryInterface.png"/>
                    <pic:cNvPicPr>
                      <a:picLocks noChangeAspect="1" noChangeArrowheads="1"/>
                    </pic:cNvPicPr>
                  </pic:nvPicPr>
                  <pic:blipFill>
                    <a:blip r:embed="rId31"/>
                    <a:stretch>
                      <a:fillRect/>
                    </a:stretch>
                  </pic:blipFill>
                  <pic:spPr bwMode="auto">
                    <a:xfrm>
                      <a:off x="0" y="0"/>
                      <a:ext cx="6477000" cy="1865063"/>
                    </a:xfrm>
                    <a:prstGeom prst="rect">
                      <a:avLst/>
                    </a:prstGeom>
                    <a:noFill/>
                    <a:ln w="9525">
                      <a:noFill/>
                      <a:headEnd/>
                      <a:tailEnd/>
                    </a:ln>
                  </pic:spPr>
                </pic:pic>
              </a:graphicData>
            </a:graphic>
          </wp:inline>
        </w:drawing>
      </w:r>
    </w:p>
    <w:p w14:paraId="427994D1" w14:textId="77777777" w:rsidR="00066EC8" w:rsidRDefault="00000000">
      <w:pPr>
        <w:pStyle w:val="ImageCaption"/>
      </w:pPr>
      <w:bookmarkStart w:id="74" w:name="_Toc225158548"/>
      <w:r>
        <w:t>Get Summary operation.</w:t>
      </w:r>
      <w:bookmarkEnd w:id="74"/>
    </w:p>
    <w:p w14:paraId="4D4EF921" w14:textId="77777777" w:rsidR="00066EC8" w:rsidRDefault="00000000">
      <w:pPr>
        <w:pStyle w:val="Heading4"/>
      </w:pPr>
      <w:bookmarkStart w:id="75" w:name="sec:get_summary_operation_functionality"/>
      <w:r>
        <w:t>Operation Functionality</w:t>
      </w:r>
    </w:p>
    <w:p w14:paraId="69B853B5" w14:textId="77777777" w:rsidR="00066EC8" w:rsidRDefault="00000000">
      <w:pPr>
        <w:pStyle w:val="FirstParagraph"/>
      </w:pPr>
      <w:r>
        <w:t xml:space="preserve">The operation can be used for filtering and retrieving the summary information regarding the S-125 datasets that are currently made available and accessible by the service provider. This operation is typically used to conserve bandwidth and make the query process faster, by initially retrieving only the summary information, and then only querying specific datasets from the service provider via the Get operation. It follows a request-response paradigm (REQUEST_RESPONSE), where a client queries the server, and based on a set of filtering criteria receives an appropriate response back. The server response should be formatted as a list of dataset summary objects. Each object contained in the list should </w:t>
      </w:r>
      <w:r>
        <w:rPr>
          <w:b/>
          <w:bCs/>
        </w:rPr>
        <w:t>only</w:t>
      </w:r>
      <w:r>
        <w:t xml:space="preserve"> include summary information on the corresponding S-125 dataset, such as the data reference identifier, the status, a short description and the dataset size.</w:t>
      </w:r>
    </w:p>
    <w:p w14:paraId="5F703619" w14:textId="77777777" w:rsidR="00066EC8" w:rsidRDefault="00000000">
      <w:pPr>
        <w:pStyle w:val="BodyText"/>
      </w:pPr>
      <w:r>
        <w:t>If multiple operation parameters are provided, only the results that match all requested filters should be included. If no parameters are given, the return should include all available datasets.</w:t>
      </w:r>
    </w:p>
    <w:p w14:paraId="6ED833C6" w14:textId="77777777" w:rsidR="00066EC8" w:rsidRDefault="00000000">
      <w:pPr>
        <w:pStyle w:val="BodyText"/>
      </w:pPr>
      <w:r>
        <w:t xml:space="preserve">All instances of services providing AtoN information are required to support all operation parameters presented in the following sub-section Section 4.2.2.2, apart from the </w:t>
      </w:r>
      <w:r>
        <w:rPr>
          <w:rStyle w:val="VerbatimChar"/>
        </w:rPr>
        <w:t>&lt;TimePeriod&gt;</w:t>
      </w:r>
      <w:r>
        <w:t xml:space="preserve"> which is optional. The specific encodings are left to be decided by the respective service technical design specification. In most cases the parameter description provides an adequate definition.</w:t>
      </w:r>
    </w:p>
    <w:p w14:paraId="774712D6" w14:textId="77777777" w:rsidR="00066EC8" w:rsidRDefault="00000000">
      <w:pPr>
        <w:pStyle w:val="Heading4"/>
      </w:pPr>
      <w:bookmarkStart w:id="76" w:name="sec:get_summary_operation_parameters"/>
      <w:bookmarkEnd w:id="69"/>
      <w:r>
        <w:t>Operation Parameters</w:t>
      </w:r>
    </w:p>
    <w:p w14:paraId="7CAA88C2" w14:textId="77777777" w:rsidR="00066EC8" w:rsidRDefault="00000000">
      <w:pPr>
        <w:pStyle w:val="TableCaption"/>
      </w:pPr>
      <w:bookmarkStart w:id="77" w:name="tbl:get_summary_operational_parameters"/>
      <w:bookmarkStart w:id="78" w:name="_Toc225158443"/>
      <w:r>
        <w:t>The Get Summary Operation Parameters.</w:t>
      </w:r>
      <w:bookmarkEnd w:id="78"/>
    </w:p>
    <w:tbl>
      <w:tblPr>
        <w:tblStyle w:val="Table"/>
        <w:tblW w:w="5000" w:type="pct"/>
        <w:tblLayout w:type="fixed"/>
        <w:tblLook w:val="0020" w:firstRow="1" w:lastRow="0" w:firstColumn="0" w:lastColumn="0" w:noHBand="0" w:noVBand="0"/>
        <w:tblCaption w:val="The Get Summary Operation Parameters."/>
      </w:tblPr>
      <w:tblGrid>
        <w:gridCol w:w="2548"/>
        <w:gridCol w:w="2549"/>
        <w:gridCol w:w="2549"/>
        <w:gridCol w:w="2549"/>
      </w:tblGrid>
      <w:tr w:rsidR="00066EC8" w14:paraId="26000B4F"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354D85C5" w14:textId="77777777" w:rsidR="00066EC8" w:rsidRDefault="00000000">
            <w:pPr>
              <w:pStyle w:val="Compact"/>
            </w:pPr>
            <w:r>
              <w:t>Parameters (in)</w:t>
            </w:r>
          </w:p>
        </w:tc>
        <w:tc>
          <w:tcPr>
            <w:tcW w:w="1980" w:type="dxa"/>
          </w:tcPr>
          <w:p w14:paraId="7A11A3D0" w14:textId="77777777" w:rsidR="00066EC8" w:rsidRDefault="00000000">
            <w:pPr>
              <w:pStyle w:val="Compact"/>
            </w:pPr>
            <w:r>
              <w:t>Encoding</w:t>
            </w:r>
          </w:p>
        </w:tc>
        <w:tc>
          <w:tcPr>
            <w:tcW w:w="1980" w:type="dxa"/>
          </w:tcPr>
          <w:p w14:paraId="11C66D2F" w14:textId="77777777" w:rsidR="00066EC8" w:rsidRDefault="00000000">
            <w:pPr>
              <w:pStyle w:val="Compact"/>
            </w:pPr>
            <w:r>
              <w:t>Mult.</w:t>
            </w:r>
          </w:p>
        </w:tc>
        <w:tc>
          <w:tcPr>
            <w:tcW w:w="1980" w:type="dxa"/>
          </w:tcPr>
          <w:p w14:paraId="0457590D" w14:textId="77777777" w:rsidR="00066EC8" w:rsidRDefault="00000000">
            <w:pPr>
              <w:pStyle w:val="Compact"/>
            </w:pPr>
            <w:r>
              <w:t>Descriptions</w:t>
            </w:r>
          </w:p>
        </w:tc>
      </w:tr>
      <w:tr w:rsidR="00066EC8" w14:paraId="055D281C" w14:textId="77777777">
        <w:tc>
          <w:tcPr>
            <w:tcW w:w="1980" w:type="dxa"/>
          </w:tcPr>
          <w:p w14:paraId="6ABEA964" w14:textId="77777777" w:rsidR="00066EC8" w:rsidRDefault="00000000">
            <w:pPr>
              <w:pStyle w:val="Compact"/>
            </w:pPr>
            <w:r>
              <w:t>DatasetReference</w:t>
            </w:r>
          </w:p>
        </w:tc>
        <w:tc>
          <w:tcPr>
            <w:tcW w:w="1980" w:type="dxa"/>
          </w:tcPr>
          <w:p w14:paraId="2F755D69" w14:textId="77777777" w:rsidR="00066EC8" w:rsidRDefault="00000000">
            <w:pPr>
              <w:pStyle w:val="Compact"/>
            </w:pPr>
            <w:r>
              <w:t>See technical design</w:t>
            </w:r>
          </w:p>
        </w:tc>
        <w:tc>
          <w:tcPr>
            <w:tcW w:w="1980" w:type="dxa"/>
          </w:tcPr>
          <w:p w14:paraId="448D5731" w14:textId="77777777" w:rsidR="00066EC8" w:rsidRDefault="00000000">
            <w:pPr>
              <w:pStyle w:val="Compact"/>
            </w:pPr>
            <w:r>
              <w:t>0..1</w:t>
            </w:r>
          </w:p>
        </w:tc>
        <w:tc>
          <w:tcPr>
            <w:tcW w:w="1980" w:type="dxa"/>
          </w:tcPr>
          <w:p w14:paraId="7D56C8AA" w14:textId="77777777" w:rsidR="00066EC8" w:rsidRDefault="00000000">
            <w:pPr>
              <w:pStyle w:val="Compact"/>
            </w:pPr>
            <w:r>
              <w:t>The dataset identifier of a specific S-125 dataset. If no references are provided, it’s up to the service to decide what to return.</w:t>
            </w:r>
          </w:p>
        </w:tc>
      </w:tr>
      <w:tr w:rsidR="00066EC8" w14:paraId="7C1B5371" w14:textId="77777777">
        <w:tc>
          <w:tcPr>
            <w:tcW w:w="1980" w:type="dxa"/>
          </w:tcPr>
          <w:p w14:paraId="61D86182" w14:textId="77777777" w:rsidR="00066EC8" w:rsidRDefault="00000000">
            <w:pPr>
              <w:pStyle w:val="Compact"/>
            </w:pPr>
            <w:r>
              <w:t>Geometry</w:t>
            </w:r>
          </w:p>
        </w:tc>
        <w:tc>
          <w:tcPr>
            <w:tcW w:w="1980" w:type="dxa"/>
          </w:tcPr>
          <w:p w14:paraId="45219FED" w14:textId="77777777" w:rsidR="00066EC8" w:rsidRDefault="00000000">
            <w:pPr>
              <w:pStyle w:val="Compact"/>
            </w:pPr>
            <w:r>
              <w:t>See technical design</w:t>
            </w:r>
          </w:p>
        </w:tc>
        <w:tc>
          <w:tcPr>
            <w:tcW w:w="1980" w:type="dxa"/>
          </w:tcPr>
          <w:p w14:paraId="36012FEC" w14:textId="77777777" w:rsidR="00066EC8" w:rsidRDefault="00000000">
            <w:pPr>
              <w:pStyle w:val="Compact"/>
            </w:pPr>
            <w:r>
              <w:t>0..1</w:t>
            </w:r>
          </w:p>
        </w:tc>
        <w:tc>
          <w:tcPr>
            <w:tcW w:w="1980" w:type="dxa"/>
          </w:tcPr>
          <w:p w14:paraId="66984EFE" w14:textId="77777777" w:rsidR="00066EC8" w:rsidRDefault="00000000">
            <w:pPr>
              <w:pStyle w:val="Compact"/>
            </w:pPr>
            <w:r>
              <w:t>Geometry condition for geolocated information objects. This can be used to filter on geometric shapes (e.g. filter AtoN information by a bounding box).</w:t>
            </w:r>
          </w:p>
        </w:tc>
      </w:tr>
      <w:tr w:rsidR="00066EC8" w14:paraId="2D76C975" w14:textId="77777777">
        <w:tc>
          <w:tcPr>
            <w:tcW w:w="1980" w:type="dxa"/>
          </w:tcPr>
          <w:p w14:paraId="3F5D08D7" w14:textId="77777777" w:rsidR="00066EC8" w:rsidRDefault="00000000">
            <w:pPr>
              <w:pStyle w:val="Compact"/>
            </w:pPr>
            <w:r>
              <w:t>unlocode</w:t>
            </w:r>
          </w:p>
        </w:tc>
        <w:tc>
          <w:tcPr>
            <w:tcW w:w="1980" w:type="dxa"/>
          </w:tcPr>
          <w:p w14:paraId="6F29046F" w14:textId="77777777" w:rsidR="00066EC8" w:rsidRDefault="00000000">
            <w:pPr>
              <w:pStyle w:val="Compact"/>
            </w:pPr>
            <w:r>
              <w:t>See technical design</w:t>
            </w:r>
          </w:p>
        </w:tc>
        <w:tc>
          <w:tcPr>
            <w:tcW w:w="1980" w:type="dxa"/>
          </w:tcPr>
          <w:p w14:paraId="139BF87C" w14:textId="77777777" w:rsidR="00066EC8" w:rsidRDefault="00000000">
            <w:pPr>
              <w:pStyle w:val="Compact"/>
            </w:pPr>
            <w:r>
              <w:t>0..1</w:t>
            </w:r>
          </w:p>
        </w:tc>
        <w:tc>
          <w:tcPr>
            <w:tcW w:w="1980" w:type="dxa"/>
          </w:tcPr>
          <w:p w14:paraId="61985EB9" w14:textId="77777777" w:rsidR="00066EC8" w:rsidRDefault="00000000">
            <w:pPr>
              <w:pStyle w:val="Compact"/>
            </w:pPr>
            <w:r>
              <w:t>UN/LOCODE (United Nations Code for Trade and Transport Locations) of a defined object (e.g., “CN” for China).</w:t>
            </w:r>
          </w:p>
        </w:tc>
      </w:tr>
      <w:tr w:rsidR="00066EC8" w14:paraId="65CD519F" w14:textId="77777777">
        <w:tc>
          <w:tcPr>
            <w:tcW w:w="1980" w:type="dxa"/>
          </w:tcPr>
          <w:p w14:paraId="411B56B6" w14:textId="77777777" w:rsidR="00066EC8" w:rsidRDefault="00000000">
            <w:pPr>
              <w:pStyle w:val="Compact"/>
            </w:pPr>
            <w:r>
              <w:lastRenderedPageBreak/>
              <w:t>TimePeriod (Optional)</w:t>
            </w:r>
          </w:p>
        </w:tc>
        <w:tc>
          <w:tcPr>
            <w:tcW w:w="1980" w:type="dxa"/>
          </w:tcPr>
          <w:p w14:paraId="50DA495A" w14:textId="77777777" w:rsidR="00066EC8" w:rsidRDefault="00000000">
            <w:pPr>
              <w:pStyle w:val="Compact"/>
            </w:pPr>
            <w:r>
              <w:t>See technical design</w:t>
            </w:r>
          </w:p>
        </w:tc>
        <w:tc>
          <w:tcPr>
            <w:tcW w:w="1980" w:type="dxa"/>
          </w:tcPr>
          <w:p w14:paraId="613CD53D" w14:textId="77777777" w:rsidR="00066EC8" w:rsidRDefault="00000000">
            <w:pPr>
              <w:pStyle w:val="Compact"/>
            </w:pPr>
            <w:r>
              <w:t>0..1</w:t>
            </w:r>
          </w:p>
        </w:tc>
        <w:tc>
          <w:tcPr>
            <w:tcW w:w="1980" w:type="dxa"/>
          </w:tcPr>
          <w:p w14:paraId="75CD734D" w14:textId="77777777" w:rsidR="00066EC8" w:rsidRDefault="00000000">
            <w:pPr>
              <w:pStyle w:val="Compact"/>
            </w:pPr>
            <w:r>
              <w:t>An optional parameter denoting the time period (ValidFrom, ValidTo) in which a dataset is valid and becomes subject to changes. The service response should only include the S-125 datasets for which modifications occurred within the specified interval.</w:t>
            </w:r>
          </w:p>
        </w:tc>
      </w:tr>
    </w:tbl>
    <w:p w14:paraId="10C13C52" w14:textId="77777777" w:rsidR="00066EC8" w:rsidRDefault="00000000">
      <w:pPr>
        <w:pStyle w:val="TableCaption"/>
      </w:pPr>
      <w:bookmarkStart w:id="79" w:name="tbl:get_summary_return_types"/>
      <w:bookmarkStart w:id="80" w:name="_Toc225158444"/>
      <w:bookmarkEnd w:id="70"/>
      <w:r>
        <w:t>The Get Summary Operation Return Types.</w:t>
      </w:r>
      <w:bookmarkEnd w:id="80"/>
    </w:p>
    <w:tbl>
      <w:tblPr>
        <w:tblStyle w:val="Table"/>
        <w:tblW w:w="5000" w:type="pct"/>
        <w:tblLayout w:type="fixed"/>
        <w:tblLook w:val="0020" w:firstRow="1" w:lastRow="0" w:firstColumn="0" w:lastColumn="0" w:noHBand="0" w:noVBand="0"/>
        <w:tblCaption w:val="The Get Summary Operation Return Types."/>
      </w:tblPr>
      <w:tblGrid>
        <w:gridCol w:w="2548"/>
        <w:gridCol w:w="2549"/>
        <w:gridCol w:w="2549"/>
        <w:gridCol w:w="2549"/>
      </w:tblGrid>
      <w:tr w:rsidR="00066EC8" w14:paraId="2218498D"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6033DD6B" w14:textId="77777777" w:rsidR="00066EC8" w:rsidRDefault="00000000">
            <w:pPr>
              <w:pStyle w:val="Compact"/>
            </w:pPr>
            <w:r>
              <w:t>ReturnType (out)</w:t>
            </w:r>
          </w:p>
        </w:tc>
        <w:tc>
          <w:tcPr>
            <w:tcW w:w="1980" w:type="dxa"/>
          </w:tcPr>
          <w:p w14:paraId="40C24496" w14:textId="77777777" w:rsidR="00066EC8" w:rsidRDefault="00000000">
            <w:pPr>
              <w:pStyle w:val="Compact"/>
            </w:pPr>
            <w:r>
              <w:t>Encoding</w:t>
            </w:r>
          </w:p>
        </w:tc>
        <w:tc>
          <w:tcPr>
            <w:tcW w:w="1980" w:type="dxa"/>
          </w:tcPr>
          <w:p w14:paraId="77CE0BDA" w14:textId="77777777" w:rsidR="00066EC8" w:rsidRDefault="00000000">
            <w:pPr>
              <w:pStyle w:val="Compact"/>
            </w:pPr>
            <w:r>
              <w:t>Mult.</w:t>
            </w:r>
          </w:p>
        </w:tc>
        <w:tc>
          <w:tcPr>
            <w:tcW w:w="1980" w:type="dxa"/>
          </w:tcPr>
          <w:p w14:paraId="36A99079" w14:textId="77777777" w:rsidR="00066EC8" w:rsidRDefault="00000000">
            <w:pPr>
              <w:pStyle w:val="Compact"/>
            </w:pPr>
            <w:r>
              <w:t>Descriptions</w:t>
            </w:r>
          </w:p>
        </w:tc>
      </w:tr>
      <w:tr w:rsidR="00066EC8" w14:paraId="1A3019AC" w14:textId="77777777">
        <w:tc>
          <w:tcPr>
            <w:tcW w:w="1980" w:type="dxa"/>
          </w:tcPr>
          <w:p w14:paraId="18CA66AA" w14:textId="77777777" w:rsidR="00066EC8" w:rsidRDefault="00000000">
            <w:pPr>
              <w:pStyle w:val="Compact"/>
            </w:pPr>
            <w:r>
              <w:t>List of Dataset Summary Information</w:t>
            </w:r>
          </w:p>
        </w:tc>
        <w:tc>
          <w:tcPr>
            <w:tcW w:w="1980" w:type="dxa"/>
          </w:tcPr>
          <w:p w14:paraId="27D14354" w14:textId="77777777" w:rsidR="00066EC8" w:rsidRDefault="00000000">
            <w:pPr>
              <w:pStyle w:val="Compact"/>
            </w:pPr>
            <w:r>
              <w:t>List of dataset summary information objects. See technical design.</w:t>
            </w:r>
          </w:p>
        </w:tc>
        <w:tc>
          <w:tcPr>
            <w:tcW w:w="1980" w:type="dxa"/>
          </w:tcPr>
          <w:p w14:paraId="2210B081" w14:textId="77777777" w:rsidR="00066EC8" w:rsidRDefault="00000000">
            <w:pPr>
              <w:pStyle w:val="Compact"/>
            </w:pPr>
            <w:r>
              <w:t>0..*</w:t>
            </w:r>
          </w:p>
        </w:tc>
        <w:tc>
          <w:tcPr>
            <w:tcW w:w="1980" w:type="dxa"/>
          </w:tcPr>
          <w:p w14:paraId="7550072C" w14:textId="77777777" w:rsidR="00066EC8" w:rsidRDefault="00000000">
            <w:pPr>
              <w:pStyle w:val="Compact"/>
            </w:pPr>
            <w:r>
              <w:t>Metadata of available AtoN information, that match the search parameters.</w:t>
            </w:r>
          </w:p>
        </w:tc>
      </w:tr>
    </w:tbl>
    <w:p w14:paraId="4255AA89" w14:textId="77777777" w:rsidR="00066EC8" w:rsidRDefault="00000000">
      <w:pPr>
        <w:pStyle w:val="Heading3"/>
      </w:pPr>
      <w:bookmarkStart w:id="81" w:name="sec:subscription_operation"/>
      <w:bookmarkStart w:id="82" w:name="_Toc225158531"/>
      <w:bookmarkEnd w:id="72"/>
      <w:bookmarkEnd w:id="75"/>
      <w:bookmarkEnd w:id="76"/>
      <w:r>
        <w:t>Subscription Operation</w:t>
      </w:r>
      <w:bookmarkEnd w:id="82"/>
    </w:p>
    <w:p w14:paraId="6B7C1572" w14:textId="77777777" w:rsidR="00066EC8" w:rsidRDefault="00000000">
      <w:pPr>
        <w:pStyle w:val="FirstParagraph"/>
      </w:pPr>
      <w:r>
        <w:t>The purpose of this operation is to facilitate subscriptions initiated by service consumers on specific AtoN information. The information a service consumer subscribes to, can either determined by the provided operation parameters, or decided upon by the service provider.</w:t>
      </w:r>
    </w:p>
    <w:p w14:paraId="124FA1CA" w14:textId="77777777" w:rsidR="00066EC8" w:rsidRDefault="00000000">
      <w:pPr>
        <w:pStyle w:val="CaptionedFigure"/>
      </w:pPr>
      <w:r>
        <w:rPr>
          <w:noProof/>
        </w:rPr>
        <w:drawing>
          <wp:inline distT="0" distB="0" distL="0" distR="0" wp14:anchorId="59CAE095" wp14:editId="5716AAAA">
            <wp:extent cx="4857750" cy="1459082"/>
            <wp:effectExtent l="0" t="0" r="0" b="0"/>
            <wp:docPr id="7" name="Picture" descr="Subscription operation."/>
            <wp:cNvGraphicFramePr/>
            <a:graphic xmlns:a="http://schemas.openxmlformats.org/drawingml/2006/main">
              <a:graphicData uri="http://schemas.openxmlformats.org/drawingml/2006/picture">
                <pic:pic xmlns:pic="http://schemas.openxmlformats.org/drawingml/2006/picture">
                  <pic:nvPicPr>
                    <pic:cNvPr id="7" name="Picture" descr="source/guideline/../../resources/SubscriptionInterface.png"/>
                    <pic:cNvPicPr>
                      <a:picLocks noChangeAspect="1" noChangeArrowheads="1"/>
                    </pic:cNvPicPr>
                  </pic:nvPicPr>
                  <pic:blipFill>
                    <a:blip r:embed="rId32"/>
                    <a:stretch>
                      <a:fillRect/>
                    </a:stretch>
                  </pic:blipFill>
                  <pic:spPr bwMode="auto">
                    <a:xfrm>
                      <a:off x="0" y="0"/>
                      <a:ext cx="4857750" cy="1459082"/>
                    </a:xfrm>
                    <a:prstGeom prst="rect">
                      <a:avLst/>
                    </a:prstGeom>
                    <a:noFill/>
                    <a:ln w="9525">
                      <a:noFill/>
                      <a:headEnd/>
                      <a:tailEnd/>
                    </a:ln>
                  </pic:spPr>
                </pic:pic>
              </a:graphicData>
            </a:graphic>
          </wp:inline>
        </w:drawing>
      </w:r>
    </w:p>
    <w:p w14:paraId="13FE811A" w14:textId="77777777" w:rsidR="00066EC8" w:rsidRDefault="00000000">
      <w:pPr>
        <w:pStyle w:val="ImageCaption"/>
      </w:pPr>
      <w:bookmarkStart w:id="83" w:name="_Toc225158549"/>
      <w:r>
        <w:t>Subscription operation.</w:t>
      </w:r>
      <w:bookmarkEnd w:id="83"/>
    </w:p>
    <w:p w14:paraId="25AB7732" w14:textId="77777777" w:rsidR="00066EC8" w:rsidRDefault="00000000">
      <w:pPr>
        <w:pStyle w:val="Heading4"/>
      </w:pPr>
      <w:bookmarkStart w:id="84" w:name="sec:subscription_operation_functionality"/>
      <w:r>
        <w:t>Operation Functionality</w:t>
      </w:r>
    </w:p>
    <w:p w14:paraId="3E088E35" w14:textId="77777777" w:rsidR="00066EC8" w:rsidRDefault="00000000">
      <w:pPr>
        <w:pStyle w:val="FirstParagraph"/>
      </w:pPr>
      <w:r>
        <w:t>The Subscription operation can be used by service consumers to subscribe to a specific set of S-125 datasets. The datasets that are covered by each subscription, are limited by the provided operation parameters, which include the dataset reference identifier. Note that the dataset reference identifiers of the S-125 datasets can be retrieved by the Get Summary operation. If no operational parameters are specified, the consumer is assumed to subscribe to updates on all available and valid datasets.</w:t>
      </w:r>
    </w:p>
    <w:p w14:paraId="6944674F" w14:textId="77777777" w:rsidR="00066EC8" w:rsidRDefault="00000000">
      <w:pPr>
        <w:pStyle w:val="BodyText"/>
      </w:pPr>
      <w:r>
        <w:t>The operation follows a request-callback paradigm (REQUEST_CALLBACK), in which the consumers register their interest in a set of AtoN information and receive updates whenever one of the corresponding S-125 datasets change. The subscription can be cancelled through the Remove Subscription operation or can be limited by specifying a subscription period.</w:t>
      </w:r>
    </w:p>
    <w:p w14:paraId="003C3CA9" w14:textId="77777777" w:rsidR="00066EC8" w:rsidRDefault="00000000">
      <w:pPr>
        <w:pStyle w:val="BodyText"/>
      </w:pPr>
      <w:r>
        <w:t>While on an active subscription, the service consumers will receive AtoN information packaged as an S-100 Exchange Set, which includes either the complete S-125 datasets for which updates exist, or just the incurred changes in the form of delta files, as these are defined in the S-100 data model specification [5]. In the latter case, it is recommended that before a consumer subscribes to updates, it initially requests all applicable S-125 datasets via the Get operation.</w:t>
      </w:r>
    </w:p>
    <w:p w14:paraId="21EFD5A5" w14:textId="77777777" w:rsidR="00066EC8" w:rsidRDefault="00000000">
      <w:pPr>
        <w:pStyle w:val="BodyText"/>
      </w:pPr>
      <w:r>
        <w:lastRenderedPageBreak/>
        <w:t>This operation consumes the following consumer operations:</w:t>
      </w:r>
    </w:p>
    <w:p w14:paraId="08E3E1E7" w14:textId="77777777" w:rsidR="00066EC8" w:rsidRDefault="00000000">
      <w:pPr>
        <w:pStyle w:val="Compact"/>
        <w:numPr>
          <w:ilvl w:val="0"/>
          <w:numId w:val="81"/>
        </w:numPr>
      </w:pPr>
      <w:r>
        <w:t>Upload</w:t>
      </w:r>
    </w:p>
    <w:p w14:paraId="295E1D4E" w14:textId="77777777" w:rsidR="00066EC8" w:rsidRDefault="00000000">
      <w:pPr>
        <w:pStyle w:val="Compact"/>
        <w:numPr>
          <w:ilvl w:val="0"/>
          <w:numId w:val="81"/>
        </w:numPr>
      </w:pPr>
      <w:r>
        <w:t>Subscription Notification</w:t>
      </w:r>
    </w:p>
    <w:p w14:paraId="1A9710A1" w14:textId="77777777" w:rsidR="00066EC8" w:rsidRDefault="00000000">
      <w:pPr>
        <w:pStyle w:val="FirstParagraph"/>
      </w:pPr>
      <w:r>
        <w:t>The Upload consumer operation is utilised by the service provider to push the incurred S-125 dataset changes to the subscribed service consumer. The Subscription Notification operation on the other hand, is used to inform the consumer that on the status of the subscription, i.e. when it has been successfully activated or removed. More information on this operation can be found in the Section 7, describing the dynamic behaviour of the Subscription operation. Note that for each new subscription, a subscription identifier should be made available to the consumer.</w:t>
      </w:r>
    </w:p>
    <w:p w14:paraId="3065BB6B" w14:textId="77777777" w:rsidR="00066EC8" w:rsidRDefault="00000000">
      <w:pPr>
        <w:pStyle w:val="BodyText"/>
      </w:pPr>
      <w:r>
        <w:t>All instances of services providing AtoN information are required to support all operation parameters presented in the following sub-section Section 4.2.3.2, although the specific encodings are left to be decided by the service technical design specification. In most cases the parameter description provides an adequate definition.</w:t>
      </w:r>
    </w:p>
    <w:p w14:paraId="49D3C3EC" w14:textId="77777777" w:rsidR="00066EC8" w:rsidRDefault="00000000">
      <w:pPr>
        <w:pStyle w:val="Heading4"/>
      </w:pPr>
      <w:bookmarkStart w:id="85" w:name="sec:subscription_operation_parameters"/>
      <w:bookmarkEnd w:id="77"/>
      <w:r>
        <w:t>Operation Parameters</w:t>
      </w:r>
    </w:p>
    <w:p w14:paraId="5C101C95" w14:textId="77777777" w:rsidR="00066EC8" w:rsidRDefault="00000000">
      <w:pPr>
        <w:pStyle w:val="TableCaption"/>
      </w:pPr>
      <w:bookmarkStart w:id="86" w:name="tbl:subscription_operational_parameters"/>
      <w:bookmarkStart w:id="87" w:name="_Toc225158445"/>
      <w:r>
        <w:t>The Subscription Operation Parameters.</w:t>
      </w:r>
      <w:bookmarkEnd w:id="87"/>
    </w:p>
    <w:tbl>
      <w:tblPr>
        <w:tblStyle w:val="Table"/>
        <w:tblW w:w="5000" w:type="pct"/>
        <w:tblLayout w:type="fixed"/>
        <w:tblLook w:val="0020" w:firstRow="1" w:lastRow="0" w:firstColumn="0" w:lastColumn="0" w:noHBand="0" w:noVBand="0"/>
        <w:tblCaption w:val="The Subscription Operation Parameters."/>
      </w:tblPr>
      <w:tblGrid>
        <w:gridCol w:w="2548"/>
        <w:gridCol w:w="2549"/>
        <w:gridCol w:w="2549"/>
        <w:gridCol w:w="2549"/>
      </w:tblGrid>
      <w:tr w:rsidR="00066EC8" w14:paraId="008A46C1"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712576E3" w14:textId="77777777" w:rsidR="00066EC8" w:rsidRDefault="00000000">
            <w:pPr>
              <w:pStyle w:val="Compact"/>
            </w:pPr>
            <w:r>
              <w:t>Parameters (in)</w:t>
            </w:r>
          </w:p>
        </w:tc>
        <w:tc>
          <w:tcPr>
            <w:tcW w:w="1980" w:type="dxa"/>
          </w:tcPr>
          <w:p w14:paraId="454EDED9" w14:textId="77777777" w:rsidR="00066EC8" w:rsidRDefault="00000000">
            <w:pPr>
              <w:pStyle w:val="Compact"/>
            </w:pPr>
            <w:r>
              <w:t>Encoding</w:t>
            </w:r>
          </w:p>
        </w:tc>
        <w:tc>
          <w:tcPr>
            <w:tcW w:w="1980" w:type="dxa"/>
          </w:tcPr>
          <w:p w14:paraId="7DC7F263" w14:textId="77777777" w:rsidR="00066EC8" w:rsidRDefault="00000000">
            <w:pPr>
              <w:pStyle w:val="Compact"/>
            </w:pPr>
            <w:r>
              <w:t>Mult.</w:t>
            </w:r>
          </w:p>
        </w:tc>
        <w:tc>
          <w:tcPr>
            <w:tcW w:w="1980" w:type="dxa"/>
          </w:tcPr>
          <w:p w14:paraId="7AAAABB5" w14:textId="77777777" w:rsidR="00066EC8" w:rsidRDefault="00000000">
            <w:pPr>
              <w:pStyle w:val="Compact"/>
            </w:pPr>
            <w:r>
              <w:t>Descriptions</w:t>
            </w:r>
          </w:p>
        </w:tc>
      </w:tr>
      <w:tr w:rsidR="00066EC8" w14:paraId="3B5B78CF" w14:textId="77777777">
        <w:tc>
          <w:tcPr>
            <w:tcW w:w="1980" w:type="dxa"/>
          </w:tcPr>
          <w:p w14:paraId="53C9014D" w14:textId="77777777" w:rsidR="00066EC8" w:rsidRDefault="00000000">
            <w:pPr>
              <w:pStyle w:val="Compact"/>
            </w:pPr>
            <w:r>
              <w:t>DatasetReference</w:t>
            </w:r>
          </w:p>
        </w:tc>
        <w:tc>
          <w:tcPr>
            <w:tcW w:w="1980" w:type="dxa"/>
          </w:tcPr>
          <w:p w14:paraId="6143C0BC" w14:textId="77777777" w:rsidR="00066EC8" w:rsidRDefault="00000000">
            <w:pPr>
              <w:pStyle w:val="Compact"/>
            </w:pPr>
            <w:r>
              <w:t>See technical design</w:t>
            </w:r>
          </w:p>
        </w:tc>
        <w:tc>
          <w:tcPr>
            <w:tcW w:w="1980" w:type="dxa"/>
          </w:tcPr>
          <w:p w14:paraId="7F45E8D3" w14:textId="77777777" w:rsidR="00066EC8" w:rsidRDefault="00000000">
            <w:pPr>
              <w:pStyle w:val="Compact"/>
            </w:pPr>
            <w:r>
              <w:t>0..1</w:t>
            </w:r>
          </w:p>
        </w:tc>
        <w:tc>
          <w:tcPr>
            <w:tcW w:w="1980" w:type="dxa"/>
          </w:tcPr>
          <w:p w14:paraId="3801E282" w14:textId="77777777" w:rsidR="00066EC8" w:rsidRDefault="00000000">
            <w:pPr>
              <w:pStyle w:val="Compact"/>
            </w:pPr>
            <w:r>
              <w:t>The dataset identifier of a specific S-125 dataset. A list of all supported references can be retrieved via Get Summary operation. If no references are provided, it’s up to the service to decide what to return.</w:t>
            </w:r>
          </w:p>
        </w:tc>
      </w:tr>
      <w:tr w:rsidR="00066EC8" w14:paraId="090E3DA9" w14:textId="77777777">
        <w:tc>
          <w:tcPr>
            <w:tcW w:w="1980" w:type="dxa"/>
          </w:tcPr>
          <w:p w14:paraId="3F366009" w14:textId="77777777" w:rsidR="00066EC8" w:rsidRDefault="00000000">
            <w:pPr>
              <w:pStyle w:val="Compact"/>
            </w:pPr>
            <w:r>
              <w:t>Geometry</w:t>
            </w:r>
          </w:p>
        </w:tc>
        <w:tc>
          <w:tcPr>
            <w:tcW w:w="1980" w:type="dxa"/>
          </w:tcPr>
          <w:p w14:paraId="240F1402" w14:textId="77777777" w:rsidR="00066EC8" w:rsidRDefault="00000000">
            <w:pPr>
              <w:pStyle w:val="Compact"/>
            </w:pPr>
            <w:r>
              <w:t>See technical design</w:t>
            </w:r>
          </w:p>
        </w:tc>
        <w:tc>
          <w:tcPr>
            <w:tcW w:w="1980" w:type="dxa"/>
          </w:tcPr>
          <w:p w14:paraId="717F694A" w14:textId="77777777" w:rsidR="00066EC8" w:rsidRDefault="00000000">
            <w:pPr>
              <w:pStyle w:val="Compact"/>
            </w:pPr>
            <w:r>
              <w:t>0..1</w:t>
            </w:r>
          </w:p>
        </w:tc>
        <w:tc>
          <w:tcPr>
            <w:tcW w:w="1980" w:type="dxa"/>
          </w:tcPr>
          <w:p w14:paraId="3FF7308C" w14:textId="77777777" w:rsidR="00066EC8" w:rsidRDefault="00000000">
            <w:pPr>
              <w:pStyle w:val="Compact"/>
            </w:pPr>
            <w:r>
              <w:t>Geometry condition for geolocated information objects. This can be used to filter on geometric shapes (e.g. filter AtoN information by a bounding box).</w:t>
            </w:r>
          </w:p>
        </w:tc>
      </w:tr>
      <w:tr w:rsidR="00066EC8" w14:paraId="4C94E9D0" w14:textId="77777777">
        <w:tc>
          <w:tcPr>
            <w:tcW w:w="1980" w:type="dxa"/>
          </w:tcPr>
          <w:p w14:paraId="026024DC" w14:textId="77777777" w:rsidR="00066EC8" w:rsidRDefault="00000000">
            <w:pPr>
              <w:pStyle w:val="Compact"/>
            </w:pPr>
            <w:r>
              <w:t>unlocode</w:t>
            </w:r>
          </w:p>
        </w:tc>
        <w:tc>
          <w:tcPr>
            <w:tcW w:w="1980" w:type="dxa"/>
          </w:tcPr>
          <w:p w14:paraId="3D72C2B2" w14:textId="77777777" w:rsidR="00066EC8" w:rsidRDefault="00000000">
            <w:pPr>
              <w:pStyle w:val="Compact"/>
            </w:pPr>
            <w:r>
              <w:t>See technical design</w:t>
            </w:r>
          </w:p>
        </w:tc>
        <w:tc>
          <w:tcPr>
            <w:tcW w:w="1980" w:type="dxa"/>
          </w:tcPr>
          <w:p w14:paraId="76A3F809" w14:textId="77777777" w:rsidR="00066EC8" w:rsidRDefault="00000000">
            <w:pPr>
              <w:pStyle w:val="Compact"/>
            </w:pPr>
            <w:r>
              <w:t>0..1</w:t>
            </w:r>
          </w:p>
        </w:tc>
        <w:tc>
          <w:tcPr>
            <w:tcW w:w="1980" w:type="dxa"/>
          </w:tcPr>
          <w:p w14:paraId="0B6F6C28" w14:textId="77777777" w:rsidR="00066EC8" w:rsidRDefault="00000000">
            <w:pPr>
              <w:pStyle w:val="Compact"/>
            </w:pPr>
            <w:r>
              <w:t>UN/LOCODE (United Nations Code for Trade and Transport Locations) of a defined object (e.g., “CN” for China).</w:t>
            </w:r>
          </w:p>
        </w:tc>
      </w:tr>
      <w:tr w:rsidR="00066EC8" w14:paraId="13032219" w14:textId="77777777">
        <w:tc>
          <w:tcPr>
            <w:tcW w:w="1980" w:type="dxa"/>
          </w:tcPr>
          <w:p w14:paraId="07DA9BA5" w14:textId="77777777" w:rsidR="00066EC8" w:rsidRDefault="00000000">
            <w:pPr>
              <w:pStyle w:val="Compact"/>
            </w:pPr>
            <w:r>
              <w:t>SubscriptionPeriod</w:t>
            </w:r>
          </w:p>
        </w:tc>
        <w:tc>
          <w:tcPr>
            <w:tcW w:w="1980" w:type="dxa"/>
          </w:tcPr>
          <w:p w14:paraId="6891BC91" w14:textId="77777777" w:rsidR="00066EC8" w:rsidRDefault="00000000">
            <w:pPr>
              <w:pStyle w:val="Compact"/>
            </w:pPr>
            <w:r>
              <w:t>See technical design</w:t>
            </w:r>
          </w:p>
        </w:tc>
        <w:tc>
          <w:tcPr>
            <w:tcW w:w="1980" w:type="dxa"/>
          </w:tcPr>
          <w:p w14:paraId="39FBE649" w14:textId="77777777" w:rsidR="00066EC8" w:rsidRDefault="00000000">
            <w:pPr>
              <w:pStyle w:val="Compact"/>
            </w:pPr>
            <w:r>
              <w:t>0..1</w:t>
            </w:r>
          </w:p>
        </w:tc>
        <w:tc>
          <w:tcPr>
            <w:tcW w:w="1980" w:type="dxa"/>
          </w:tcPr>
          <w:p w14:paraId="0FBE4FAC" w14:textId="77777777" w:rsidR="00066EC8" w:rsidRDefault="00000000">
            <w:pPr>
              <w:pStyle w:val="Compact"/>
            </w:pPr>
            <w:r>
              <w:t>The period for which the subscription is active (start and end date/time).</w:t>
            </w:r>
          </w:p>
        </w:tc>
      </w:tr>
    </w:tbl>
    <w:p w14:paraId="7A3FDDCA" w14:textId="77777777" w:rsidR="00066EC8" w:rsidRDefault="00000000">
      <w:pPr>
        <w:pStyle w:val="TableCaption"/>
      </w:pPr>
      <w:bookmarkStart w:id="88" w:name="tbl:subscription_return_types"/>
      <w:bookmarkStart w:id="89" w:name="_Toc225158446"/>
      <w:bookmarkEnd w:id="79"/>
      <w:r>
        <w:t>The Subscription Operation Return Types.</w:t>
      </w:r>
      <w:bookmarkEnd w:id="89"/>
    </w:p>
    <w:tbl>
      <w:tblPr>
        <w:tblStyle w:val="Table"/>
        <w:tblW w:w="5000" w:type="pct"/>
        <w:tblLayout w:type="fixed"/>
        <w:tblLook w:val="0020" w:firstRow="1" w:lastRow="0" w:firstColumn="0" w:lastColumn="0" w:noHBand="0" w:noVBand="0"/>
        <w:tblCaption w:val="The Subscription Operation Return Types."/>
      </w:tblPr>
      <w:tblGrid>
        <w:gridCol w:w="2548"/>
        <w:gridCol w:w="2549"/>
        <w:gridCol w:w="2549"/>
        <w:gridCol w:w="2549"/>
      </w:tblGrid>
      <w:tr w:rsidR="00066EC8" w14:paraId="36FDDFC4"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7F2C7DDF" w14:textId="77777777" w:rsidR="00066EC8" w:rsidRDefault="00000000">
            <w:pPr>
              <w:pStyle w:val="Compact"/>
            </w:pPr>
            <w:r>
              <w:t>ReturnType (out)</w:t>
            </w:r>
          </w:p>
        </w:tc>
        <w:tc>
          <w:tcPr>
            <w:tcW w:w="1980" w:type="dxa"/>
          </w:tcPr>
          <w:p w14:paraId="68E5DF00" w14:textId="77777777" w:rsidR="00066EC8" w:rsidRDefault="00000000">
            <w:pPr>
              <w:pStyle w:val="Compact"/>
            </w:pPr>
            <w:r>
              <w:t>Encoding</w:t>
            </w:r>
          </w:p>
        </w:tc>
        <w:tc>
          <w:tcPr>
            <w:tcW w:w="1980" w:type="dxa"/>
          </w:tcPr>
          <w:p w14:paraId="55A9011A" w14:textId="77777777" w:rsidR="00066EC8" w:rsidRDefault="00000000">
            <w:pPr>
              <w:pStyle w:val="Compact"/>
            </w:pPr>
            <w:r>
              <w:t>Mult.</w:t>
            </w:r>
          </w:p>
        </w:tc>
        <w:tc>
          <w:tcPr>
            <w:tcW w:w="1980" w:type="dxa"/>
          </w:tcPr>
          <w:p w14:paraId="4F9C372F" w14:textId="77777777" w:rsidR="00066EC8" w:rsidRDefault="00000000">
            <w:pPr>
              <w:pStyle w:val="Compact"/>
            </w:pPr>
            <w:r>
              <w:t>Descriptions</w:t>
            </w:r>
          </w:p>
        </w:tc>
      </w:tr>
      <w:tr w:rsidR="00066EC8" w14:paraId="411392D3" w14:textId="77777777">
        <w:tc>
          <w:tcPr>
            <w:tcW w:w="1980" w:type="dxa"/>
          </w:tcPr>
          <w:p w14:paraId="447E25F0" w14:textId="77777777" w:rsidR="00066EC8" w:rsidRDefault="00000000">
            <w:pPr>
              <w:pStyle w:val="Compact"/>
            </w:pPr>
            <w:r>
              <w:t>Result</w:t>
            </w:r>
          </w:p>
        </w:tc>
        <w:tc>
          <w:tcPr>
            <w:tcW w:w="1980" w:type="dxa"/>
          </w:tcPr>
          <w:p w14:paraId="368249D2" w14:textId="77777777" w:rsidR="00066EC8" w:rsidRDefault="00000000">
            <w:pPr>
              <w:pStyle w:val="Compact"/>
            </w:pPr>
            <w:r>
              <w:t>List of dataset summary information objects. See technical design.</w:t>
            </w:r>
          </w:p>
        </w:tc>
        <w:tc>
          <w:tcPr>
            <w:tcW w:w="1980" w:type="dxa"/>
          </w:tcPr>
          <w:p w14:paraId="3F56CAC4" w14:textId="77777777" w:rsidR="00066EC8" w:rsidRDefault="00000000">
            <w:pPr>
              <w:pStyle w:val="Compact"/>
            </w:pPr>
            <w:r>
              <w:t>0..1</w:t>
            </w:r>
          </w:p>
        </w:tc>
        <w:tc>
          <w:tcPr>
            <w:tcW w:w="1980" w:type="dxa"/>
          </w:tcPr>
          <w:p w14:paraId="7FAD93FF" w14:textId="77777777" w:rsidR="00066EC8" w:rsidRDefault="00000000">
            <w:pPr>
              <w:pStyle w:val="Compact"/>
            </w:pPr>
            <w:r>
              <w:t xml:space="preserve">Confirmation or error message. On confirmation, it must include a Subscription Identifier for the created subscription, which can then be used to remove the subscription. If the subscription corresponds to more than one information object, all </w:t>
            </w:r>
            <w:r>
              <w:lastRenderedPageBreak/>
              <w:t>information objects will be part of one subscription.</w:t>
            </w:r>
          </w:p>
        </w:tc>
      </w:tr>
    </w:tbl>
    <w:p w14:paraId="26F485CA" w14:textId="77777777" w:rsidR="00066EC8" w:rsidRDefault="00000000">
      <w:pPr>
        <w:pStyle w:val="Heading3"/>
      </w:pPr>
      <w:bookmarkStart w:id="90" w:name="sec:remove_subscription_operation"/>
      <w:bookmarkStart w:id="91" w:name="_Toc225158532"/>
      <w:bookmarkEnd w:id="81"/>
      <w:bookmarkEnd w:id="84"/>
      <w:bookmarkEnd w:id="85"/>
      <w:r>
        <w:lastRenderedPageBreak/>
        <w:t>Remove Subscription Operation</w:t>
      </w:r>
      <w:bookmarkEnd w:id="91"/>
    </w:p>
    <w:p w14:paraId="0DBD67C2" w14:textId="77777777" w:rsidR="00066EC8" w:rsidRDefault="00000000">
      <w:pPr>
        <w:pStyle w:val="FirstParagraph"/>
      </w:pPr>
      <w:r>
        <w:t>Subscriptions are removed either internally by the service provider, or externally by the service consumer. This operation can be used by the consumer to request the removal of an active subscription.</w:t>
      </w:r>
    </w:p>
    <w:p w14:paraId="36423AFE" w14:textId="77777777" w:rsidR="00066EC8" w:rsidRDefault="00000000">
      <w:pPr>
        <w:pStyle w:val="CaptionedFigure"/>
      </w:pPr>
      <w:r>
        <w:rPr>
          <w:noProof/>
        </w:rPr>
        <w:drawing>
          <wp:inline distT="0" distB="0" distL="0" distR="0" wp14:anchorId="1B9E233D" wp14:editId="1CBA88B8">
            <wp:extent cx="4857750" cy="1406344"/>
            <wp:effectExtent l="0" t="0" r="0" b="0"/>
            <wp:docPr id="8" name="Picture" descr="Remove Subscription operation."/>
            <wp:cNvGraphicFramePr/>
            <a:graphic xmlns:a="http://schemas.openxmlformats.org/drawingml/2006/main">
              <a:graphicData uri="http://schemas.openxmlformats.org/drawingml/2006/picture">
                <pic:pic xmlns:pic="http://schemas.openxmlformats.org/drawingml/2006/picture">
                  <pic:nvPicPr>
                    <pic:cNvPr id="8" name="Picture" descr="source/guideline/../../resources/RemoveSubscriptionInterface.png"/>
                    <pic:cNvPicPr>
                      <a:picLocks noChangeAspect="1" noChangeArrowheads="1"/>
                    </pic:cNvPicPr>
                  </pic:nvPicPr>
                  <pic:blipFill>
                    <a:blip r:embed="rId33"/>
                    <a:stretch>
                      <a:fillRect/>
                    </a:stretch>
                  </pic:blipFill>
                  <pic:spPr bwMode="auto">
                    <a:xfrm>
                      <a:off x="0" y="0"/>
                      <a:ext cx="4857750" cy="1406344"/>
                    </a:xfrm>
                    <a:prstGeom prst="rect">
                      <a:avLst/>
                    </a:prstGeom>
                    <a:noFill/>
                    <a:ln w="9525">
                      <a:noFill/>
                      <a:headEnd/>
                      <a:tailEnd/>
                    </a:ln>
                  </pic:spPr>
                </pic:pic>
              </a:graphicData>
            </a:graphic>
          </wp:inline>
        </w:drawing>
      </w:r>
    </w:p>
    <w:p w14:paraId="25DE00FC" w14:textId="77777777" w:rsidR="00066EC8" w:rsidRDefault="00000000">
      <w:pPr>
        <w:pStyle w:val="ImageCaption"/>
      </w:pPr>
      <w:bookmarkStart w:id="92" w:name="_Toc225158550"/>
      <w:r>
        <w:t>Remove Subscription operation.</w:t>
      </w:r>
      <w:bookmarkEnd w:id="92"/>
    </w:p>
    <w:p w14:paraId="50D88DCD" w14:textId="77777777" w:rsidR="00066EC8" w:rsidRDefault="00000000">
      <w:pPr>
        <w:pStyle w:val="Heading4"/>
      </w:pPr>
      <w:bookmarkStart w:id="93" w:name="X1bac26e8d63e8df3e8ad5f896e815deeaf16fc5"/>
      <w:r>
        <w:t>Operation Functionality</w:t>
      </w:r>
    </w:p>
    <w:p w14:paraId="1EC4CB8A" w14:textId="77777777" w:rsidR="00066EC8" w:rsidRDefault="00000000">
      <w:pPr>
        <w:pStyle w:val="FirstParagraph"/>
      </w:pPr>
      <w:r>
        <w:t>The Remove Subscription operation should be used to remove subscriptions that were created earlier through the Subscription operation. The operation follows a request-callback paradigm (REQUEST_CALLBACK), where a client expects a subscription notification to be sent back asynchronously, in order to confirm the successful removal of the requested subscriptions. In this operation, the consumer can optionally provide the subscription identifier, acquired through the Subscription operation response, to select the individual subscription to be removed. Alternatively, if no subscription identifier is provided, all active subscriptions for this consumer will be removed.</w:t>
      </w:r>
    </w:p>
    <w:p w14:paraId="7EC12D58" w14:textId="77777777" w:rsidR="00066EC8" w:rsidRDefault="00000000">
      <w:pPr>
        <w:pStyle w:val="BodyText"/>
      </w:pPr>
      <w:r>
        <w:t>This operation consumes the following operations:</w:t>
      </w:r>
    </w:p>
    <w:p w14:paraId="53F57C5C" w14:textId="77777777" w:rsidR="00066EC8" w:rsidRDefault="00000000">
      <w:pPr>
        <w:pStyle w:val="Compact"/>
        <w:numPr>
          <w:ilvl w:val="0"/>
          <w:numId w:val="82"/>
        </w:numPr>
      </w:pPr>
      <w:r>
        <w:t>Subscription Notification</w:t>
      </w:r>
    </w:p>
    <w:p w14:paraId="0BB0A4C6" w14:textId="77777777" w:rsidR="00066EC8" w:rsidRDefault="00000000">
      <w:pPr>
        <w:pStyle w:val="FirstParagraph"/>
      </w:pPr>
      <w:r>
        <w:t>The Subscription Notification operation is used to inform the consumer that on the status of the subscription, i.e. when it has been successfully removed.</w:t>
      </w:r>
    </w:p>
    <w:p w14:paraId="12AE011F" w14:textId="77777777" w:rsidR="00066EC8" w:rsidRDefault="00000000">
      <w:pPr>
        <w:pStyle w:val="Heading4"/>
      </w:pPr>
      <w:bookmarkStart w:id="94" w:name="X653cbdac61d28b5a4c7ce709f8481fbd9679310"/>
      <w:bookmarkEnd w:id="86"/>
      <w:r>
        <w:t>Operation Parameters</w:t>
      </w:r>
    </w:p>
    <w:p w14:paraId="386DB6CA" w14:textId="77777777" w:rsidR="00066EC8" w:rsidRDefault="00000000">
      <w:pPr>
        <w:pStyle w:val="TableCaption"/>
      </w:pPr>
      <w:bookmarkStart w:id="95" w:name="X7db507f1f511da79f3c73c1a4b447f5ebbffc00"/>
      <w:bookmarkStart w:id="96" w:name="_Toc225158447"/>
      <w:r>
        <w:t>The Remove Subscription Operation Parameters.</w:t>
      </w:r>
      <w:bookmarkEnd w:id="96"/>
    </w:p>
    <w:tbl>
      <w:tblPr>
        <w:tblStyle w:val="Table"/>
        <w:tblW w:w="5000" w:type="pct"/>
        <w:tblLayout w:type="fixed"/>
        <w:tblLook w:val="0020" w:firstRow="1" w:lastRow="0" w:firstColumn="0" w:lastColumn="0" w:noHBand="0" w:noVBand="0"/>
        <w:tblCaption w:val="The Remove Subscription Operation Parameters."/>
      </w:tblPr>
      <w:tblGrid>
        <w:gridCol w:w="2548"/>
        <w:gridCol w:w="2549"/>
        <w:gridCol w:w="2549"/>
        <w:gridCol w:w="2549"/>
      </w:tblGrid>
      <w:tr w:rsidR="00066EC8" w14:paraId="2577697C"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640A2385" w14:textId="77777777" w:rsidR="00066EC8" w:rsidRDefault="00000000">
            <w:pPr>
              <w:pStyle w:val="Compact"/>
            </w:pPr>
            <w:r>
              <w:t>Parameters (in)</w:t>
            </w:r>
          </w:p>
        </w:tc>
        <w:tc>
          <w:tcPr>
            <w:tcW w:w="1980" w:type="dxa"/>
          </w:tcPr>
          <w:p w14:paraId="740191BC" w14:textId="77777777" w:rsidR="00066EC8" w:rsidRDefault="00000000">
            <w:pPr>
              <w:pStyle w:val="Compact"/>
            </w:pPr>
            <w:r>
              <w:t>Encoding</w:t>
            </w:r>
          </w:p>
        </w:tc>
        <w:tc>
          <w:tcPr>
            <w:tcW w:w="1980" w:type="dxa"/>
          </w:tcPr>
          <w:p w14:paraId="7B40D321" w14:textId="77777777" w:rsidR="00066EC8" w:rsidRDefault="00000000">
            <w:pPr>
              <w:pStyle w:val="Compact"/>
            </w:pPr>
            <w:r>
              <w:t>Mult.</w:t>
            </w:r>
          </w:p>
        </w:tc>
        <w:tc>
          <w:tcPr>
            <w:tcW w:w="1980" w:type="dxa"/>
          </w:tcPr>
          <w:p w14:paraId="00F08052" w14:textId="77777777" w:rsidR="00066EC8" w:rsidRDefault="00000000">
            <w:pPr>
              <w:pStyle w:val="Compact"/>
            </w:pPr>
            <w:r>
              <w:t>Descriptions</w:t>
            </w:r>
          </w:p>
        </w:tc>
      </w:tr>
      <w:tr w:rsidR="00066EC8" w14:paraId="6B67939E" w14:textId="77777777">
        <w:tc>
          <w:tcPr>
            <w:tcW w:w="1980" w:type="dxa"/>
          </w:tcPr>
          <w:p w14:paraId="71168D84" w14:textId="77777777" w:rsidR="00066EC8" w:rsidRDefault="00000000">
            <w:pPr>
              <w:pStyle w:val="Compact"/>
            </w:pPr>
            <w:r>
              <w:t>SubscriptionIdentifier</w:t>
            </w:r>
          </w:p>
        </w:tc>
        <w:tc>
          <w:tcPr>
            <w:tcW w:w="1980" w:type="dxa"/>
          </w:tcPr>
          <w:p w14:paraId="093FF3A2" w14:textId="77777777" w:rsidR="00066EC8" w:rsidRDefault="00000000">
            <w:pPr>
              <w:pStyle w:val="Compact"/>
            </w:pPr>
            <w:r>
              <w:t>See technical design</w:t>
            </w:r>
          </w:p>
        </w:tc>
        <w:tc>
          <w:tcPr>
            <w:tcW w:w="1980" w:type="dxa"/>
          </w:tcPr>
          <w:p w14:paraId="757254A8" w14:textId="77777777" w:rsidR="00066EC8" w:rsidRDefault="00000000">
            <w:pPr>
              <w:pStyle w:val="Compact"/>
            </w:pPr>
            <w:r>
              <w:t>0..1</w:t>
            </w:r>
          </w:p>
        </w:tc>
        <w:tc>
          <w:tcPr>
            <w:tcW w:w="1980" w:type="dxa"/>
          </w:tcPr>
          <w:p w14:paraId="3E26A3D2" w14:textId="77777777" w:rsidR="00066EC8" w:rsidRDefault="00000000">
            <w:pPr>
              <w:pStyle w:val="Compact"/>
            </w:pPr>
            <w:r>
              <w:t>A specific identifier of the information object to remove the subscription for. If no subscription identifier is provided, all subscriptions for the consumer are removed.</w:t>
            </w:r>
          </w:p>
        </w:tc>
      </w:tr>
    </w:tbl>
    <w:p w14:paraId="7F96F68D" w14:textId="77777777" w:rsidR="00066EC8" w:rsidRDefault="00000000">
      <w:pPr>
        <w:pStyle w:val="TableCaption"/>
      </w:pPr>
      <w:bookmarkStart w:id="97" w:name="tbl:remove_subscription_return_types"/>
      <w:bookmarkStart w:id="98" w:name="_Toc225158448"/>
      <w:bookmarkEnd w:id="88"/>
      <w:r>
        <w:t>The Remove Subscription Operation Return Types.</w:t>
      </w:r>
      <w:bookmarkEnd w:id="98"/>
    </w:p>
    <w:tbl>
      <w:tblPr>
        <w:tblStyle w:val="Table"/>
        <w:tblW w:w="5000" w:type="pct"/>
        <w:tblLayout w:type="fixed"/>
        <w:tblLook w:val="0020" w:firstRow="1" w:lastRow="0" w:firstColumn="0" w:lastColumn="0" w:noHBand="0" w:noVBand="0"/>
        <w:tblCaption w:val="The Remove Subscription Operation Return Types."/>
      </w:tblPr>
      <w:tblGrid>
        <w:gridCol w:w="2548"/>
        <w:gridCol w:w="2549"/>
        <w:gridCol w:w="2549"/>
        <w:gridCol w:w="2549"/>
      </w:tblGrid>
      <w:tr w:rsidR="00066EC8" w14:paraId="32665109"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5D7D7DA0" w14:textId="77777777" w:rsidR="00066EC8" w:rsidRDefault="00000000">
            <w:pPr>
              <w:pStyle w:val="Compact"/>
            </w:pPr>
            <w:r>
              <w:t>ReturnType (out)</w:t>
            </w:r>
          </w:p>
        </w:tc>
        <w:tc>
          <w:tcPr>
            <w:tcW w:w="1980" w:type="dxa"/>
          </w:tcPr>
          <w:p w14:paraId="32494D73" w14:textId="77777777" w:rsidR="00066EC8" w:rsidRDefault="00000000">
            <w:pPr>
              <w:pStyle w:val="Compact"/>
            </w:pPr>
            <w:r>
              <w:t>Encoding</w:t>
            </w:r>
          </w:p>
        </w:tc>
        <w:tc>
          <w:tcPr>
            <w:tcW w:w="1980" w:type="dxa"/>
          </w:tcPr>
          <w:p w14:paraId="412D04F3" w14:textId="77777777" w:rsidR="00066EC8" w:rsidRDefault="00000000">
            <w:pPr>
              <w:pStyle w:val="Compact"/>
            </w:pPr>
            <w:r>
              <w:t>Mult.</w:t>
            </w:r>
          </w:p>
        </w:tc>
        <w:tc>
          <w:tcPr>
            <w:tcW w:w="1980" w:type="dxa"/>
          </w:tcPr>
          <w:p w14:paraId="7723C5C0" w14:textId="77777777" w:rsidR="00066EC8" w:rsidRDefault="00000000">
            <w:pPr>
              <w:pStyle w:val="Compact"/>
            </w:pPr>
            <w:r>
              <w:t>Descriptions</w:t>
            </w:r>
          </w:p>
        </w:tc>
      </w:tr>
      <w:tr w:rsidR="00066EC8" w14:paraId="643EFF49" w14:textId="77777777">
        <w:tc>
          <w:tcPr>
            <w:tcW w:w="1980" w:type="dxa"/>
          </w:tcPr>
          <w:p w14:paraId="1A3F8A88" w14:textId="77777777" w:rsidR="00066EC8" w:rsidRDefault="00000000">
            <w:pPr>
              <w:pStyle w:val="Compact"/>
            </w:pPr>
            <w:r>
              <w:t>Result</w:t>
            </w:r>
          </w:p>
        </w:tc>
        <w:tc>
          <w:tcPr>
            <w:tcW w:w="1980" w:type="dxa"/>
          </w:tcPr>
          <w:p w14:paraId="12B24918" w14:textId="77777777" w:rsidR="00066EC8" w:rsidRDefault="00000000">
            <w:pPr>
              <w:pStyle w:val="Compact"/>
            </w:pPr>
            <w:r>
              <w:t>List of dataset summary information objects. See technical design.</w:t>
            </w:r>
          </w:p>
        </w:tc>
        <w:tc>
          <w:tcPr>
            <w:tcW w:w="1980" w:type="dxa"/>
          </w:tcPr>
          <w:p w14:paraId="5CAACE59" w14:textId="77777777" w:rsidR="00066EC8" w:rsidRDefault="00000000">
            <w:pPr>
              <w:pStyle w:val="Compact"/>
            </w:pPr>
            <w:r>
              <w:t>0..1</w:t>
            </w:r>
          </w:p>
        </w:tc>
        <w:tc>
          <w:tcPr>
            <w:tcW w:w="1980" w:type="dxa"/>
          </w:tcPr>
          <w:p w14:paraId="1FBB01C1" w14:textId="77777777" w:rsidR="00066EC8" w:rsidRDefault="00000000">
            <w:pPr>
              <w:pStyle w:val="Compact"/>
            </w:pPr>
            <w:r>
              <w:t>Confirmation or error message.</w:t>
            </w:r>
          </w:p>
        </w:tc>
      </w:tr>
    </w:tbl>
    <w:p w14:paraId="5FD479DF" w14:textId="77777777" w:rsidR="00066EC8" w:rsidRDefault="00000000">
      <w:pPr>
        <w:pStyle w:val="Heading3"/>
      </w:pPr>
      <w:bookmarkStart w:id="99" w:name="sec:upload_operation"/>
      <w:bookmarkStart w:id="100" w:name="_Toc225158533"/>
      <w:bookmarkEnd w:id="90"/>
      <w:bookmarkEnd w:id="93"/>
      <w:bookmarkEnd w:id="94"/>
      <w:r>
        <w:lastRenderedPageBreak/>
        <w:t>Upload Operation</w:t>
      </w:r>
      <w:bookmarkEnd w:id="100"/>
    </w:p>
    <w:p w14:paraId="75543E7E" w14:textId="77777777" w:rsidR="00066EC8" w:rsidRDefault="00000000">
      <w:pPr>
        <w:pStyle w:val="FirstParagraph"/>
      </w:pPr>
      <w:r>
        <w:t>The purpose of this operation is to allow service providers to upload (push) AtoN information to a service consumer. Hence, a consumer needs to implement this functionality as a separate operation or support it through the technology selected for the subscription operation, in order to receive S-125 datasets from a subscription or a unicast/broadcast operation.</w:t>
      </w:r>
    </w:p>
    <w:p w14:paraId="3BEE69D9" w14:textId="77777777" w:rsidR="00066EC8" w:rsidRDefault="00000000">
      <w:pPr>
        <w:pStyle w:val="BodyText"/>
      </w:pPr>
      <w:r>
        <w:rPr>
          <w:b/>
          <w:bCs/>
        </w:rPr>
        <w:t>Note</w:t>
      </w:r>
      <w:r>
        <w:t>: This may not be implemented as a separate interface as different technologies already implement this functionality on other levels (e.g., by using a message-oriented middleware like the MCP MMS, RabbitMQ or Kafka).</w:t>
      </w:r>
    </w:p>
    <w:p w14:paraId="445F9042" w14:textId="77777777" w:rsidR="00066EC8" w:rsidRDefault="00000000">
      <w:pPr>
        <w:pStyle w:val="CaptionedFigure"/>
      </w:pPr>
      <w:r>
        <w:rPr>
          <w:noProof/>
        </w:rPr>
        <w:drawing>
          <wp:inline distT="0" distB="0" distL="0" distR="0" wp14:anchorId="3B1BBF1B" wp14:editId="327F347E">
            <wp:extent cx="4857750" cy="2208068"/>
            <wp:effectExtent l="0" t="0" r="0" b="0"/>
            <wp:docPr id="9" name="Picture" descr="Upload operation."/>
            <wp:cNvGraphicFramePr/>
            <a:graphic xmlns:a="http://schemas.openxmlformats.org/drawingml/2006/main">
              <a:graphicData uri="http://schemas.openxmlformats.org/drawingml/2006/picture">
                <pic:pic xmlns:pic="http://schemas.openxmlformats.org/drawingml/2006/picture">
                  <pic:nvPicPr>
                    <pic:cNvPr id="9" name="Picture" descr="source/guideline/../../resources/UploadInterface.png"/>
                    <pic:cNvPicPr>
                      <a:picLocks noChangeAspect="1" noChangeArrowheads="1"/>
                    </pic:cNvPicPr>
                  </pic:nvPicPr>
                  <pic:blipFill>
                    <a:blip r:embed="rId34"/>
                    <a:stretch>
                      <a:fillRect/>
                    </a:stretch>
                  </pic:blipFill>
                  <pic:spPr bwMode="auto">
                    <a:xfrm>
                      <a:off x="0" y="0"/>
                      <a:ext cx="4857750" cy="2208068"/>
                    </a:xfrm>
                    <a:prstGeom prst="rect">
                      <a:avLst/>
                    </a:prstGeom>
                    <a:noFill/>
                    <a:ln w="9525">
                      <a:noFill/>
                      <a:headEnd/>
                      <a:tailEnd/>
                    </a:ln>
                  </pic:spPr>
                </pic:pic>
              </a:graphicData>
            </a:graphic>
          </wp:inline>
        </w:drawing>
      </w:r>
    </w:p>
    <w:p w14:paraId="212E196F" w14:textId="77777777" w:rsidR="00066EC8" w:rsidRDefault="00000000">
      <w:pPr>
        <w:pStyle w:val="ImageCaption"/>
      </w:pPr>
      <w:bookmarkStart w:id="101" w:name="_Toc225158551"/>
      <w:r>
        <w:t>Upload operation.</w:t>
      </w:r>
      <w:bookmarkEnd w:id="101"/>
    </w:p>
    <w:p w14:paraId="0092688E" w14:textId="77777777" w:rsidR="00066EC8" w:rsidRDefault="00000000">
      <w:pPr>
        <w:pStyle w:val="Heading4"/>
      </w:pPr>
      <w:bookmarkStart w:id="102" w:name="sec:upload_operation_functionality"/>
      <w:r>
        <w:t>Operation Functionality</w:t>
      </w:r>
    </w:p>
    <w:p w14:paraId="0BC1D007" w14:textId="77777777" w:rsidR="00066EC8" w:rsidRDefault="00000000">
      <w:pPr>
        <w:pStyle w:val="FirstParagraph"/>
      </w:pPr>
      <w:r>
        <w:t>This operation allows service consumers to be directly informed about new or updated S-125 datasets made available. The operation may follow two types of exchange patterns. The first one is a one-way paradigm (ONE_WAY), where a service sends data to the consumer without expecting information back, other than a technical response. Alternatively, a request-callback paradigm (REQUEST_CALLBACK) can be employed, where uploads are expected to result in an acknowledgement message sent asynchronously back. This acknowledgement should be directed to an Acknowledgement operation of the service provider. This mechanism however, as well as the operation specification, is left to be defined at the service design level, as it is considered to be implementation specific.</w:t>
      </w:r>
    </w:p>
    <w:p w14:paraId="2556581D" w14:textId="77777777" w:rsidR="00066EC8" w:rsidRDefault="00000000">
      <w:pPr>
        <w:pStyle w:val="BodyText"/>
      </w:pPr>
      <w:r>
        <w:t xml:space="preserve">This operation can be used both in single uploads and uploads under a subscription. The parameter </w:t>
      </w:r>
      <w:r>
        <w:rPr>
          <w:rStyle w:val="VerbatimChar"/>
        </w:rPr>
        <w:t>&lt;FromSubscription&gt;</w:t>
      </w:r>
      <w:r>
        <w:t xml:space="preserve"> indicates whether the upload took place within or outside a subscription by the consumer.</w:t>
      </w:r>
    </w:p>
    <w:p w14:paraId="7C7F1F05" w14:textId="77777777" w:rsidR="00066EC8" w:rsidRDefault="00000000">
      <w:pPr>
        <w:pStyle w:val="BodyText"/>
      </w:pPr>
      <w:r>
        <w:t>As stated previously, this operation may optionally consume the following operations:</w:t>
      </w:r>
    </w:p>
    <w:p w14:paraId="33D5FA24" w14:textId="77777777" w:rsidR="00066EC8" w:rsidRDefault="00000000">
      <w:pPr>
        <w:pStyle w:val="Compact"/>
        <w:numPr>
          <w:ilvl w:val="0"/>
          <w:numId w:val="83"/>
        </w:numPr>
      </w:pPr>
      <w:r>
        <w:t>Acknowledgement</w:t>
      </w:r>
    </w:p>
    <w:p w14:paraId="32EA07ED" w14:textId="77777777" w:rsidR="00066EC8" w:rsidRDefault="00000000">
      <w:pPr>
        <w:pStyle w:val="FirstParagraph"/>
      </w:pPr>
      <w:r>
        <w:t xml:space="preserve">When uploading an AtoN information message and if this functionality is actually supported by the service provider, the acknowledgement can be requested through the </w:t>
      </w:r>
      <w:r>
        <w:rPr>
          <w:rStyle w:val="VerbatimChar"/>
        </w:rPr>
        <w:t>&lt;AckRequest&gt;</w:t>
      </w:r>
      <w:r>
        <w:t xml:space="preserve"> operational parameter. The encoding of this parameter is left to be defined by the technical service specification, as it is implementation specific. For example, in SECOM this would be represented by a simple Boolean value, while other technologies may require to a more complex structure that defines the location of the provider service endpoint, as well as authentication information.</w:t>
      </w:r>
    </w:p>
    <w:p w14:paraId="573EE890" w14:textId="77777777" w:rsidR="00066EC8" w:rsidRDefault="00000000">
      <w:pPr>
        <w:pStyle w:val="BodyText"/>
      </w:pPr>
      <w:r>
        <w:t>The acknowledgement message may be expected to be received when the uploaded message has been delivered to end system (technical acknowledgement), and/or if supported, when the message has been opened (read) by the end user (operational acknowledgement). More information on this operation can be found in Section 6.2, describing the dynamic behavior description of the subscription on AtoN information.</w:t>
      </w:r>
    </w:p>
    <w:p w14:paraId="236CB182" w14:textId="77777777" w:rsidR="00066EC8" w:rsidRDefault="00000000">
      <w:pPr>
        <w:pStyle w:val="Heading4"/>
      </w:pPr>
      <w:bookmarkStart w:id="103" w:name="sec:upload_operation_parameters"/>
      <w:bookmarkEnd w:id="95"/>
      <w:r>
        <w:lastRenderedPageBreak/>
        <w:t>Operation Parameters</w:t>
      </w:r>
    </w:p>
    <w:p w14:paraId="1BE28FDC" w14:textId="77777777" w:rsidR="00066EC8" w:rsidRDefault="00000000">
      <w:pPr>
        <w:pStyle w:val="TableCaption"/>
      </w:pPr>
      <w:bookmarkStart w:id="104" w:name="tbl:upload_operational_parameters"/>
      <w:bookmarkStart w:id="105" w:name="_Toc225158449"/>
      <w:r>
        <w:t>The Upload Operation Parameters.</w:t>
      </w:r>
      <w:bookmarkEnd w:id="105"/>
    </w:p>
    <w:tbl>
      <w:tblPr>
        <w:tblStyle w:val="Table"/>
        <w:tblW w:w="5000" w:type="pct"/>
        <w:tblLayout w:type="fixed"/>
        <w:tblLook w:val="0020" w:firstRow="1" w:lastRow="0" w:firstColumn="0" w:lastColumn="0" w:noHBand="0" w:noVBand="0"/>
        <w:tblCaption w:val="The Upload Operation Parameters."/>
      </w:tblPr>
      <w:tblGrid>
        <w:gridCol w:w="2548"/>
        <w:gridCol w:w="2549"/>
        <w:gridCol w:w="2549"/>
        <w:gridCol w:w="2549"/>
      </w:tblGrid>
      <w:tr w:rsidR="00066EC8" w14:paraId="5CACF87A"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5DB5B746" w14:textId="77777777" w:rsidR="00066EC8" w:rsidRDefault="00000000">
            <w:pPr>
              <w:pStyle w:val="Compact"/>
            </w:pPr>
            <w:r>
              <w:t>Parameters (in)</w:t>
            </w:r>
          </w:p>
        </w:tc>
        <w:tc>
          <w:tcPr>
            <w:tcW w:w="1980" w:type="dxa"/>
          </w:tcPr>
          <w:p w14:paraId="1F44D5CB" w14:textId="77777777" w:rsidR="00066EC8" w:rsidRDefault="00000000">
            <w:pPr>
              <w:pStyle w:val="Compact"/>
            </w:pPr>
            <w:r>
              <w:t>Encoding</w:t>
            </w:r>
          </w:p>
        </w:tc>
        <w:tc>
          <w:tcPr>
            <w:tcW w:w="1980" w:type="dxa"/>
          </w:tcPr>
          <w:p w14:paraId="2ECA8CA9" w14:textId="77777777" w:rsidR="00066EC8" w:rsidRDefault="00000000">
            <w:pPr>
              <w:pStyle w:val="Compact"/>
            </w:pPr>
            <w:r>
              <w:t>Mult.</w:t>
            </w:r>
          </w:p>
        </w:tc>
        <w:tc>
          <w:tcPr>
            <w:tcW w:w="1980" w:type="dxa"/>
          </w:tcPr>
          <w:p w14:paraId="2B8306EA" w14:textId="77777777" w:rsidR="00066EC8" w:rsidRDefault="00000000">
            <w:pPr>
              <w:pStyle w:val="Compact"/>
            </w:pPr>
            <w:r>
              <w:t>Descriptions</w:t>
            </w:r>
          </w:p>
        </w:tc>
      </w:tr>
      <w:tr w:rsidR="00066EC8" w14:paraId="060ED436" w14:textId="77777777">
        <w:tc>
          <w:tcPr>
            <w:tcW w:w="1980" w:type="dxa"/>
          </w:tcPr>
          <w:p w14:paraId="72C5465F" w14:textId="77777777" w:rsidR="00066EC8" w:rsidRDefault="00000000">
            <w:pPr>
              <w:pStyle w:val="Compact"/>
            </w:pPr>
            <w:r>
              <w:t>S100ExchangeSet</w:t>
            </w:r>
          </w:p>
        </w:tc>
        <w:tc>
          <w:tcPr>
            <w:tcW w:w="1980" w:type="dxa"/>
          </w:tcPr>
          <w:p w14:paraId="1529937D" w14:textId="77777777" w:rsidR="00066EC8" w:rsidRDefault="00000000">
            <w:pPr>
              <w:pStyle w:val="Compact"/>
            </w:pPr>
            <w:r>
              <w:t>S100ExchangeSet</w:t>
            </w:r>
          </w:p>
        </w:tc>
        <w:tc>
          <w:tcPr>
            <w:tcW w:w="1980" w:type="dxa"/>
          </w:tcPr>
          <w:p w14:paraId="770BE851" w14:textId="77777777" w:rsidR="00066EC8" w:rsidRDefault="00000000">
            <w:pPr>
              <w:pStyle w:val="Compact"/>
            </w:pPr>
            <w:r>
              <w:t>1</w:t>
            </w:r>
          </w:p>
        </w:tc>
        <w:tc>
          <w:tcPr>
            <w:tcW w:w="1980" w:type="dxa"/>
          </w:tcPr>
          <w:p w14:paraId="1EDC5753" w14:textId="77777777" w:rsidR="00066EC8" w:rsidRDefault="00000000">
            <w:pPr>
              <w:pStyle w:val="Compact"/>
            </w:pPr>
            <w:r>
              <w:t>S-125 datasets which conform to the data product specification including the service metadata (see Section 5).</w:t>
            </w:r>
          </w:p>
        </w:tc>
      </w:tr>
      <w:tr w:rsidR="00066EC8" w14:paraId="35EC6969" w14:textId="77777777">
        <w:tc>
          <w:tcPr>
            <w:tcW w:w="1980" w:type="dxa"/>
          </w:tcPr>
          <w:p w14:paraId="01EFD2EB" w14:textId="77777777" w:rsidR="00066EC8" w:rsidRDefault="00000000">
            <w:pPr>
              <w:pStyle w:val="Compact"/>
            </w:pPr>
            <w:r>
              <w:t>FromSubscription (Optional)</w:t>
            </w:r>
          </w:p>
        </w:tc>
        <w:tc>
          <w:tcPr>
            <w:tcW w:w="1980" w:type="dxa"/>
          </w:tcPr>
          <w:p w14:paraId="687B36CB" w14:textId="77777777" w:rsidR="00066EC8" w:rsidRDefault="00000000">
            <w:pPr>
              <w:pStyle w:val="Compact"/>
            </w:pPr>
            <w:r>
              <w:t>See technical design</w:t>
            </w:r>
          </w:p>
        </w:tc>
        <w:tc>
          <w:tcPr>
            <w:tcW w:w="1980" w:type="dxa"/>
          </w:tcPr>
          <w:p w14:paraId="59F1F724" w14:textId="77777777" w:rsidR="00066EC8" w:rsidRDefault="00000000">
            <w:pPr>
              <w:pStyle w:val="Compact"/>
            </w:pPr>
            <w:r>
              <w:t>0..1</w:t>
            </w:r>
          </w:p>
        </w:tc>
        <w:tc>
          <w:tcPr>
            <w:tcW w:w="1980" w:type="dxa"/>
          </w:tcPr>
          <w:p w14:paraId="32A3186A" w14:textId="77777777" w:rsidR="00066EC8" w:rsidRDefault="00000000">
            <w:pPr>
              <w:pStyle w:val="Compact"/>
            </w:pPr>
            <w:r>
              <w:t>Flag to indicate whether the payload has been uploaded within an active subscription or not.</w:t>
            </w:r>
          </w:p>
        </w:tc>
      </w:tr>
      <w:tr w:rsidR="00066EC8" w14:paraId="51E0DF0F" w14:textId="77777777">
        <w:tc>
          <w:tcPr>
            <w:tcW w:w="1980" w:type="dxa"/>
          </w:tcPr>
          <w:p w14:paraId="49949EE3" w14:textId="77777777" w:rsidR="00066EC8" w:rsidRDefault="00000000">
            <w:pPr>
              <w:pStyle w:val="Compact"/>
            </w:pPr>
            <w:r>
              <w:t>AckRequest (Optional)</w:t>
            </w:r>
          </w:p>
        </w:tc>
        <w:tc>
          <w:tcPr>
            <w:tcW w:w="1980" w:type="dxa"/>
          </w:tcPr>
          <w:p w14:paraId="65A037B7" w14:textId="77777777" w:rsidR="00066EC8" w:rsidRDefault="00000000">
            <w:pPr>
              <w:pStyle w:val="Compact"/>
            </w:pPr>
            <w:r>
              <w:t>See technical design</w:t>
            </w:r>
          </w:p>
        </w:tc>
        <w:tc>
          <w:tcPr>
            <w:tcW w:w="1980" w:type="dxa"/>
          </w:tcPr>
          <w:p w14:paraId="4E864BBC" w14:textId="77777777" w:rsidR="00066EC8" w:rsidRDefault="00000000">
            <w:pPr>
              <w:pStyle w:val="Compact"/>
            </w:pPr>
            <w:r>
              <w:t>0..1</w:t>
            </w:r>
          </w:p>
        </w:tc>
        <w:tc>
          <w:tcPr>
            <w:tcW w:w="1980" w:type="dxa"/>
          </w:tcPr>
          <w:p w14:paraId="1114467D" w14:textId="77777777" w:rsidR="00066EC8" w:rsidRDefault="00000000">
            <w:pPr>
              <w:pStyle w:val="Compact"/>
            </w:pPr>
            <w:r>
              <w:t>Flag to indicate that acknowledgement is expected when delivered, and an acknowledgement when message has been opened (read) by end user.</w:t>
            </w:r>
          </w:p>
        </w:tc>
      </w:tr>
    </w:tbl>
    <w:p w14:paraId="3ADA1E63" w14:textId="77777777" w:rsidR="00066EC8" w:rsidRDefault="00000000">
      <w:pPr>
        <w:pStyle w:val="TableCaption"/>
      </w:pPr>
      <w:bookmarkStart w:id="106" w:name="tbl:upload_return_types"/>
      <w:bookmarkStart w:id="107" w:name="_Toc225158450"/>
      <w:bookmarkEnd w:id="97"/>
      <w:r>
        <w:t>The Upload Operation Return Types.</w:t>
      </w:r>
      <w:bookmarkEnd w:id="107"/>
    </w:p>
    <w:tbl>
      <w:tblPr>
        <w:tblStyle w:val="Table"/>
        <w:tblW w:w="0" w:type="auto"/>
        <w:tblLook w:val="0020" w:firstRow="1" w:lastRow="0" w:firstColumn="0" w:lastColumn="0" w:noHBand="0" w:noVBand="0"/>
        <w:tblCaption w:val="The Upload Operation Return Types."/>
      </w:tblPr>
      <w:tblGrid>
        <w:gridCol w:w="1641"/>
        <w:gridCol w:w="1859"/>
        <w:gridCol w:w="671"/>
        <w:gridCol w:w="2770"/>
      </w:tblGrid>
      <w:tr w:rsidR="00066EC8" w14:paraId="7589CEE4"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5CCC90EF" w14:textId="77777777" w:rsidR="00066EC8" w:rsidRDefault="00000000">
            <w:pPr>
              <w:pStyle w:val="Compact"/>
            </w:pPr>
            <w:r>
              <w:t>ReturnType (out)</w:t>
            </w:r>
          </w:p>
        </w:tc>
        <w:tc>
          <w:tcPr>
            <w:tcW w:w="0" w:type="auto"/>
          </w:tcPr>
          <w:p w14:paraId="2EE0F9EA" w14:textId="77777777" w:rsidR="00066EC8" w:rsidRDefault="00000000">
            <w:pPr>
              <w:pStyle w:val="Compact"/>
            </w:pPr>
            <w:r>
              <w:t>Encoding</w:t>
            </w:r>
          </w:p>
        </w:tc>
        <w:tc>
          <w:tcPr>
            <w:tcW w:w="0" w:type="auto"/>
          </w:tcPr>
          <w:p w14:paraId="07E05EBA" w14:textId="77777777" w:rsidR="00066EC8" w:rsidRDefault="00000000">
            <w:pPr>
              <w:pStyle w:val="Compact"/>
            </w:pPr>
            <w:r>
              <w:t>Mult.</w:t>
            </w:r>
          </w:p>
        </w:tc>
        <w:tc>
          <w:tcPr>
            <w:tcW w:w="0" w:type="auto"/>
          </w:tcPr>
          <w:p w14:paraId="459EBB72" w14:textId="77777777" w:rsidR="00066EC8" w:rsidRDefault="00000000">
            <w:pPr>
              <w:pStyle w:val="Compact"/>
            </w:pPr>
            <w:r>
              <w:t>Descriptions</w:t>
            </w:r>
          </w:p>
        </w:tc>
      </w:tr>
      <w:tr w:rsidR="00066EC8" w14:paraId="07CD2FA4" w14:textId="77777777">
        <w:tc>
          <w:tcPr>
            <w:tcW w:w="0" w:type="auto"/>
          </w:tcPr>
          <w:p w14:paraId="42D2EFCC" w14:textId="77777777" w:rsidR="00066EC8" w:rsidRDefault="00000000">
            <w:pPr>
              <w:pStyle w:val="Compact"/>
            </w:pPr>
            <w:r>
              <w:t>Result</w:t>
            </w:r>
          </w:p>
        </w:tc>
        <w:tc>
          <w:tcPr>
            <w:tcW w:w="0" w:type="auto"/>
          </w:tcPr>
          <w:p w14:paraId="31463F66" w14:textId="77777777" w:rsidR="00066EC8" w:rsidRDefault="00000000">
            <w:pPr>
              <w:pStyle w:val="Compact"/>
            </w:pPr>
            <w:r>
              <w:t>See technical design</w:t>
            </w:r>
          </w:p>
        </w:tc>
        <w:tc>
          <w:tcPr>
            <w:tcW w:w="0" w:type="auto"/>
          </w:tcPr>
          <w:p w14:paraId="6EFB012C" w14:textId="77777777" w:rsidR="00066EC8" w:rsidRDefault="00000000">
            <w:pPr>
              <w:pStyle w:val="Compact"/>
            </w:pPr>
            <w:r>
              <w:t>1</w:t>
            </w:r>
          </w:p>
        </w:tc>
        <w:tc>
          <w:tcPr>
            <w:tcW w:w="0" w:type="auto"/>
          </w:tcPr>
          <w:p w14:paraId="2E68DC03" w14:textId="77777777" w:rsidR="00066EC8" w:rsidRDefault="00000000">
            <w:pPr>
              <w:pStyle w:val="Compact"/>
            </w:pPr>
            <w:r>
              <w:t>Confirmation or error message.</w:t>
            </w:r>
          </w:p>
        </w:tc>
      </w:tr>
    </w:tbl>
    <w:p w14:paraId="65A9642B" w14:textId="77777777" w:rsidR="00066EC8" w:rsidRDefault="00000000">
      <w:pPr>
        <w:pStyle w:val="Heading3"/>
      </w:pPr>
      <w:bookmarkStart w:id="108" w:name="sec:subscription_notification_operation"/>
      <w:bookmarkStart w:id="109" w:name="_Toc225158534"/>
      <w:bookmarkEnd w:id="99"/>
      <w:bookmarkEnd w:id="102"/>
      <w:bookmarkEnd w:id="103"/>
      <w:r>
        <w:t>Subscription Notification Operation (Consumer Operation - Optional)</w:t>
      </w:r>
      <w:bookmarkEnd w:id="109"/>
    </w:p>
    <w:p w14:paraId="2E74AB4D" w14:textId="77777777" w:rsidR="00066EC8" w:rsidRDefault="00000000">
      <w:pPr>
        <w:pStyle w:val="FirstParagraph"/>
      </w:pPr>
      <w:r>
        <w:t>This operation is used by service consumers to receive notifications by a service provider, when a subscription is created or removed.</w:t>
      </w:r>
    </w:p>
    <w:p w14:paraId="4CDC6F1B" w14:textId="77777777" w:rsidR="00066EC8" w:rsidRDefault="00000000">
      <w:pPr>
        <w:pStyle w:val="BodyText"/>
      </w:pPr>
      <w:r>
        <w:rPr>
          <w:b/>
          <w:bCs/>
        </w:rPr>
        <w:t>Note</w:t>
      </w:r>
      <w:r>
        <w:t>: This may not be implemented as a separate operation as different technologies already implement this functionality on other levels (e.g., by using a message-oriented middleware like the MCP MMS, RabbitMQ or Kafka).</w:t>
      </w:r>
    </w:p>
    <w:p w14:paraId="3F9F393F" w14:textId="77777777" w:rsidR="00066EC8" w:rsidRDefault="00000000">
      <w:pPr>
        <w:pStyle w:val="CaptionedFigure"/>
      </w:pPr>
      <w:r>
        <w:rPr>
          <w:noProof/>
        </w:rPr>
        <w:drawing>
          <wp:inline distT="0" distB="0" distL="0" distR="0" wp14:anchorId="550D9CC4" wp14:editId="0643E0A0">
            <wp:extent cx="4857750" cy="2069522"/>
            <wp:effectExtent l="0" t="0" r="0" b="0"/>
            <wp:docPr id="10" name="Picture" descr="Subscription Notification operation."/>
            <wp:cNvGraphicFramePr/>
            <a:graphic xmlns:a="http://schemas.openxmlformats.org/drawingml/2006/main">
              <a:graphicData uri="http://schemas.openxmlformats.org/drawingml/2006/picture">
                <pic:pic xmlns:pic="http://schemas.openxmlformats.org/drawingml/2006/picture">
                  <pic:nvPicPr>
                    <pic:cNvPr id="10" name="Picture" descr="source/guideline/../../resources/SubscriptionNotificationInterface.png"/>
                    <pic:cNvPicPr>
                      <a:picLocks noChangeAspect="1" noChangeArrowheads="1"/>
                    </pic:cNvPicPr>
                  </pic:nvPicPr>
                  <pic:blipFill>
                    <a:blip r:embed="rId35"/>
                    <a:stretch>
                      <a:fillRect/>
                    </a:stretch>
                  </pic:blipFill>
                  <pic:spPr bwMode="auto">
                    <a:xfrm>
                      <a:off x="0" y="0"/>
                      <a:ext cx="4857750" cy="2069522"/>
                    </a:xfrm>
                    <a:prstGeom prst="rect">
                      <a:avLst/>
                    </a:prstGeom>
                    <a:noFill/>
                    <a:ln w="9525">
                      <a:noFill/>
                      <a:headEnd/>
                      <a:tailEnd/>
                    </a:ln>
                  </pic:spPr>
                </pic:pic>
              </a:graphicData>
            </a:graphic>
          </wp:inline>
        </w:drawing>
      </w:r>
    </w:p>
    <w:p w14:paraId="5A6408F1" w14:textId="77777777" w:rsidR="00066EC8" w:rsidRDefault="00000000">
      <w:pPr>
        <w:pStyle w:val="ImageCaption"/>
      </w:pPr>
      <w:bookmarkStart w:id="110" w:name="_Toc225158552"/>
      <w:r>
        <w:t>Subscription Notification operation.</w:t>
      </w:r>
      <w:bookmarkEnd w:id="110"/>
    </w:p>
    <w:p w14:paraId="4AB7E456" w14:textId="77777777" w:rsidR="00066EC8" w:rsidRDefault="00000000">
      <w:pPr>
        <w:pStyle w:val="Heading4"/>
      </w:pPr>
      <w:bookmarkStart w:id="111" w:name="Xf78cb36710e7a9a8ad84a401a976abedcbd7e82"/>
      <w:r>
        <w:t>Operation Functionality</w:t>
      </w:r>
    </w:p>
    <w:p w14:paraId="0BBF8878" w14:textId="77777777" w:rsidR="00066EC8" w:rsidRDefault="00000000">
      <w:pPr>
        <w:pStyle w:val="FirstParagraph"/>
      </w:pPr>
      <w:r>
        <w:t xml:space="preserve">The operation receives notifications by the service provider, when a subscription is created or removed, either internally by information owner, or externally on request. This operation follows a one-way paradigm (ONE_WAY), where a service sends data to consumer without expecting information back, other than a technical response. More </w:t>
      </w:r>
      <w:r>
        <w:lastRenderedPageBreak/>
        <w:t>information on this operation can be found in Section Section 7, describing the dynamic behavior description of the subscription on AtoN information.</w:t>
      </w:r>
    </w:p>
    <w:p w14:paraId="4DE3132C" w14:textId="77777777" w:rsidR="00066EC8" w:rsidRDefault="00000000">
      <w:pPr>
        <w:pStyle w:val="Heading4"/>
      </w:pPr>
      <w:bookmarkStart w:id="112" w:name="X52b47f999cb38430c43d8c4a932ea67b6509eec"/>
      <w:bookmarkEnd w:id="104"/>
      <w:r>
        <w:t>Operation Parameters</w:t>
      </w:r>
    </w:p>
    <w:p w14:paraId="1B6365F0" w14:textId="77777777" w:rsidR="00066EC8" w:rsidRDefault="00000000">
      <w:pPr>
        <w:pStyle w:val="TableCaption"/>
      </w:pPr>
      <w:bookmarkStart w:id="113" w:name="X4a5f9649b449730308343b9f9c6324addca667f"/>
      <w:bookmarkStart w:id="114" w:name="_Toc225158451"/>
      <w:r>
        <w:t>The Subscription Notification Operation Parameters.</w:t>
      </w:r>
      <w:bookmarkEnd w:id="114"/>
    </w:p>
    <w:tbl>
      <w:tblPr>
        <w:tblStyle w:val="Table"/>
        <w:tblW w:w="5000" w:type="pct"/>
        <w:tblLayout w:type="fixed"/>
        <w:tblLook w:val="0020" w:firstRow="1" w:lastRow="0" w:firstColumn="0" w:lastColumn="0" w:noHBand="0" w:noVBand="0"/>
        <w:tblCaption w:val="The Subscription Notification Operation Parameters."/>
      </w:tblPr>
      <w:tblGrid>
        <w:gridCol w:w="2548"/>
        <w:gridCol w:w="2549"/>
        <w:gridCol w:w="2549"/>
        <w:gridCol w:w="2549"/>
      </w:tblGrid>
      <w:tr w:rsidR="00066EC8" w14:paraId="1DE4C0D8"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4F4A71B1" w14:textId="77777777" w:rsidR="00066EC8" w:rsidRDefault="00000000">
            <w:pPr>
              <w:pStyle w:val="Compact"/>
            </w:pPr>
            <w:r>
              <w:t>Parameters (in)</w:t>
            </w:r>
          </w:p>
        </w:tc>
        <w:tc>
          <w:tcPr>
            <w:tcW w:w="1980" w:type="dxa"/>
          </w:tcPr>
          <w:p w14:paraId="75F87468" w14:textId="77777777" w:rsidR="00066EC8" w:rsidRDefault="00000000">
            <w:pPr>
              <w:pStyle w:val="Compact"/>
            </w:pPr>
            <w:r>
              <w:t>Encoding</w:t>
            </w:r>
          </w:p>
        </w:tc>
        <w:tc>
          <w:tcPr>
            <w:tcW w:w="1980" w:type="dxa"/>
          </w:tcPr>
          <w:p w14:paraId="5796A334" w14:textId="77777777" w:rsidR="00066EC8" w:rsidRDefault="00000000">
            <w:pPr>
              <w:pStyle w:val="Compact"/>
            </w:pPr>
            <w:r>
              <w:t>Mult.</w:t>
            </w:r>
          </w:p>
        </w:tc>
        <w:tc>
          <w:tcPr>
            <w:tcW w:w="1980" w:type="dxa"/>
          </w:tcPr>
          <w:p w14:paraId="48FFF19C" w14:textId="77777777" w:rsidR="00066EC8" w:rsidRDefault="00000000">
            <w:pPr>
              <w:pStyle w:val="Compact"/>
            </w:pPr>
            <w:r>
              <w:t>Descriptions</w:t>
            </w:r>
          </w:p>
        </w:tc>
      </w:tr>
      <w:tr w:rsidR="00066EC8" w14:paraId="3F299A9C" w14:textId="77777777">
        <w:tc>
          <w:tcPr>
            <w:tcW w:w="1980" w:type="dxa"/>
          </w:tcPr>
          <w:p w14:paraId="6BC6E9C5" w14:textId="77777777" w:rsidR="00066EC8" w:rsidRDefault="00000000">
            <w:pPr>
              <w:pStyle w:val="Compact"/>
            </w:pPr>
            <w:r>
              <w:t>SubscriptionIdentifier (Optional)</w:t>
            </w:r>
          </w:p>
        </w:tc>
        <w:tc>
          <w:tcPr>
            <w:tcW w:w="1980" w:type="dxa"/>
          </w:tcPr>
          <w:p w14:paraId="49031976" w14:textId="77777777" w:rsidR="00066EC8" w:rsidRDefault="00000000">
            <w:pPr>
              <w:pStyle w:val="Compact"/>
            </w:pPr>
            <w:r>
              <w:t>See technical design</w:t>
            </w:r>
          </w:p>
        </w:tc>
        <w:tc>
          <w:tcPr>
            <w:tcW w:w="1980" w:type="dxa"/>
          </w:tcPr>
          <w:p w14:paraId="16F4971E" w14:textId="77777777" w:rsidR="00066EC8" w:rsidRDefault="00000000">
            <w:pPr>
              <w:pStyle w:val="Compact"/>
            </w:pPr>
            <w:r>
              <w:t>1</w:t>
            </w:r>
          </w:p>
        </w:tc>
        <w:tc>
          <w:tcPr>
            <w:tcW w:w="1980" w:type="dxa"/>
          </w:tcPr>
          <w:p w14:paraId="405605CF" w14:textId="77777777" w:rsidR="00066EC8" w:rsidRDefault="00000000">
            <w:pPr>
              <w:pStyle w:val="Compact"/>
            </w:pPr>
            <w:r>
              <w:t>Specific identifier of the subscription for which the status has being updated.</w:t>
            </w:r>
          </w:p>
        </w:tc>
      </w:tr>
      <w:tr w:rsidR="00066EC8" w14:paraId="42C88705" w14:textId="77777777">
        <w:tc>
          <w:tcPr>
            <w:tcW w:w="1980" w:type="dxa"/>
          </w:tcPr>
          <w:p w14:paraId="3A1D264B" w14:textId="77777777" w:rsidR="00066EC8" w:rsidRDefault="00000000">
            <w:pPr>
              <w:pStyle w:val="Compact"/>
            </w:pPr>
            <w:r>
              <w:t>SubscriptionEvent</w:t>
            </w:r>
          </w:p>
        </w:tc>
        <w:tc>
          <w:tcPr>
            <w:tcW w:w="1980" w:type="dxa"/>
          </w:tcPr>
          <w:p w14:paraId="0B52DA00" w14:textId="77777777" w:rsidR="00066EC8" w:rsidRDefault="00000000">
            <w:pPr>
              <w:pStyle w:val="Compact"/>
            </w:pPr>
            <w:r>
              <w:t>See technical design</w:t>
            </w:r>
          </w:p>
        </w:tc>
        <w:tc>
          <w:tcPr>
            <w:tcW w:w="1980" w:type="dxa"/>
          </w:tcPr>
          <w:p w14:paraId="0481E1CF" w14:textId="77777777" w:rsidR="00066EC8" w:rsidRDefault="00000000">
            <w:pPr>
              <w:pStyle w:val="Compact"/>
            </w:pPr>
            <w:r>
              <w:t>1</w:t>
            </w:r>
          </w:p>
        </w:tc>
        <w:tc>
          <w:tcPr>
            <w:tcW w:w="1980" w:type="dxa"/>
          </w:tcPr>
          <w:p w14:paraId="05C07155" w14:textId="77777777" w:rsidR="00066EC8" w:rsidRDefault="00000000">
            <w:pPr>
              <w:pStyle w:val="Compact"/>
            </w:pPr>
            <w:r>
              <w:t>Type of subscription status update event; Created or Deleted/Removed.</w:t>
            </w:r>
          </w:p>
        </w:tc>
      </w:tr>
    </w:tbl>
    <w:p w14:paraId="21F0AD0D" w14:textId="77777777" w:rsidR="00066EC8" w:rsidRDefault="00000000">
      <w:pPr>
        <w:pStyle w:val="TableCaption"/>
      </w:pPr>
      <w:bookmarkStart w:id="115" w:name="X5fec97643d09b5c2a4a9e63015cd3cbbbc867cd"/>
      <w:bookmarkStart w:id="116" w:name="_Toc225158452"/>
      <w:bookmarkEnd w:id="106"/>
      <w:r>
        <w:t>The Subscription Notification Operation Return Types.</w:t>
      </w:r>
      <w:bookmarkEnd w:id="116"/>
    </w:p>
    <w:tbl>
      <w:tblPr>
        <w:tblStyle w:val="Table"/>
        <w:tblW w:w="0" w:type="auto"/>
        <w:tblLook w:val="0020" w:firstRow="1" w:lastRow="0" w:firstColumn="0" w:lastColumn="0" w:noHBand="0" w:noVBand="0"/>
        <w:tblCaption w:val="The Subscription Notification Operation Return Types."/>
      </w:tblPr>
      <w:tblGrid>
        <w:gridCol w:w="1641"/>
        <w:gridCol w:w="1859"/>
        <w:gridCol w:w="671"/>
        <w:gridCol w:w="2770"/>
      </w:tblGrid>
      <w:tr w:rsidR="00066EC8" w14:paraId="40FD0A0F"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292B8438" w14:textId="77777777" w:rsidR="00066EC8" w:rsidRDefault="00000000">
            <w:pPr>
              <w:pStyle w:val="Compact"/>
            </w:pPr>
            <w:r>
              <w:t>ReturnType (out)</w:t>
            </w:r>
          </w:p>
        </w:tc>
        <w:tc>
          <w:tcPr>
            <w:tcW w:w="0" w:type="auto"/>
          </w:tcPr>
          <w:p w14:paraId="057C308A" w14:textId="77777777" w:rsidR="00066EC8" w:rsidRDefault="00000000">
            <w:pPr>
              <w:pStyle w:val="Compact"/>
            </w:pPr>
            <w:r>
              <w:t>Encoding</w:t>
            </w:r>
          </w:p>
        </w:tc>
        <w:tc>
          <w:tcPr>
            <w:tcW w:w="0" w:type="auto"/>
          </w:tcPr>
          <w:p w14:paraId="085EC998" w14:textId="77777777" w:rsidR="00066EC8" w:rsidRDefault="00000000">
            <w:pPr>
              <w:pStyle w:val="Compact"/>
            </w:pPr>
            <w:r>
              <w:t>Mult.</w:t>
            </w:r>
          </w:p>
        </w:tc>
        <w:tc>
          <w:tcPr>
            <w:tcW w:w="0" w:type="auto"/>
          </w:tcPr>
          <w:p w14:paraId="37688D2F" w14:textId="77777777" w:rsidR="00066EC8" w:rsidRDefault="00000000">
            <w:pPr>
              <w:pStyle w:val="Compact"/>
            </w:pPr>
            <w:r>
              <w:t>Descriptions</w:t>
            </w:r>
          </w:p>
        </w:tc>
      </w:tr>
      <w:tr w:rsidR="00066EC8" w14:paraId="36DC1C4D" w14:textId="77777777">
        <w:tc>
          <w:tcPr>
            <w:tcW w:w="0" w:type="auto"/>
          </w:tcPr>
          <w:p w14:paraId="4677ADF3" w14:textId="77777777" w:rsidR="00066EC8" w:rsidRDefault="00000000">
            <w:pPr>
              <w:pStyle w:val="Compact"/>
            </w:pPr>
            <w:r>
              <w:t>Result</w:t>
            </w:r>
          </w:p>
        </w:tc>
        <w:tc>
          <w:tcPr>
            <w:tcW w:w="0" w:type="auto"/>
          </w:tcPr>
          <w:p w14:paraId="78592E92" w14:textId="77777777" w:rsidR="00066EC8" w:rsidRDefault="00000000">
            <w:pPr>
              <w:pStyle w:val="Compact"/>
            </w:pPr>
            <w:r>
              <w:t>See technical design</w:t>
            </w:r>
          </w:p>
        </w:tc>
        <w:tc>
          <w:tcPr>
            <w:tcW w:w="0" w:type="auto"/>
          </w:tcPr>
          <w:p w14:paraId="105C9B71" w14:textId="77777777" w:rsidR="00066EC8" w:rsidRDefault="00000000">
            <w:pPr>
              <w:pStyle w:val="Compact"/>
            </w:pPr>
            <w:r>
              <w:t>1</w:t>
            </w:r>
          </w:p>
        </w:tc>
        <w:tc>
          <w:tcPr>
            <w:tcW w:w="0" w:type="auto"/>
          </w:tcPr>
          <w:p w14:paraId="4BC3F007" w14:textId="77777777" w:rsidR="00066EC8" w:rsidRDefault="00000000">
            <w:pPr>
              <w:pStyle w:val="Compact"/>
            </w:pPr>
            <w:r>
              <w:t>Confirmation or error message.</w:t>
            </w:r>
          </w:p>
        </w:tc>
      </w:tr>
      <w:bookmarkEnd w:id="108"/>
    </w:tbl>
    <w:p w14:paraId="3536950F" w14:textId="77777777" w:rsidR="00066EC8" w:rsidRDefault="00000000">
      <w:r>
        <w:br w:type="page"/>
      </w:r>
    </w:p>
    <w:p w14:paraId="0A01272F" w14:textId="77777777" w:rsidR="00066EC8" w:rsidRDefault="00000000">
      <w:pPr>
        <w:pStyle w:val="Heading1"/>
      </w:pPr>
      <w:bookmarkStart w:id="117" w:name="sec:service_data_model"/>
      <w:bookmarkStart w:id="118" w:name="_Toc225158535"/>
      <w:bookmarkEnd w:id="111"/>
      <w:bookmarkEnd w:id="112"/>
      <w:bookmarkEnd w:id="113"/>
      <w:bookmarkEnd w:id="115"/>
      <w:r>
        <w:lastRenderedPageBreak/>
        <w:t>Service Data Model</w:t>
      </w:r>
      <w:bookmarkEnd w:id="118"/>
    </w:p>
    <w:p w14:paraId="6948FB88" w14:textId="77777777" w:rsidR="00066EC8" w:rsidRDefault="00000000">
      <w:pPr>
        <w:pStyle w:val="FirstParagraph"/>
      </w:pPr>
      <w:r>
        <w:t>This section describes the logical data structures to be exchanged between providers and consumers of the service. The service data model is bound by the current definition of the IHO S-125. For complete and updated documentation refer to the latest S-125 Product Specification which can be found at:</w:t>
      </w:r>
    </w:p>
    <w:p w14:paraId="2FE678DC" w14:textId="77777777" w:rsidR="00066EC8" w:rsidRDefault="00000000">
      <w:pPr>
        <w:pStyle w:val="SourceCode"/>
      </w:pPr>
      <w:r>
        <w:rPr>
          <w:rStyle w:val="VerbatimChar"/>
        </w:rPr>
        <w:t>https://iho.int/en/nipwg-product-specifications.</w:t>
      </w:r>
    </w:p>
    <w:p w14:paraId="37B74B57" w14:textId="77777777" w:rsidR="00066EC8" w:rsidRDefault="00000000">
      <w:pPr>
        <w:pStyle w:val="FirstParagraph"/>
      </w:pPr>
      <w:r>
        <w:t>Included in the service data model is a full description followed by specific extracts for;</w:t>
      </w:r>
    </w:p>
    <w:p w14:paraId="0DD22405" w14:textId="77777777" w:rsidR="00066EC8" w:rsidRDefault="00000000">
      <w:pPr>
        <w:pStyle w:val="Compact"/>
        <w:numPr>
          <w:ilvl w:val="0"/>
          <w:numId w:val="84"/>
        </w:numPr>
      </w:pPr>
      <w:r>
        <w:t>AtoN Information Features and Information types</w:t>
      </w:r>
    </w:p>
    <w:p w14:paraId="51BC9E5F" w14:textId="77777777" w:rsidR="00066EC8" w:rsidRDefault="00000000">
      <w:pPr>
        <w:pStyle w:val="Compact"/>
        <w:numPr>
          <w:ilvl w:val="0"/>
          <w:numId w:val="84"/>
        </w:numPr>
      </w:pPr>
      <w:r>
        <w:t>Enumerations</w:t>
      </w:r>
    </w:p>
    <w:p w14:paraId="4C147216" w14:textId="77777777" w:rsidR="00066EC8" w:rsidRDefault="00000000">
      <w:pPr>
        <w:pStyle w:val="Compact"/>
        <w:numPr>
          <w:ilvl w:val="0"/>
          <w:numId w:val="84"/>
        </w:numPr>
      </w:pPr>
      <w:r>
        <w:t>Complex Attributes</w:t>
      </w:r>
    </w:p>
    <w:p w14:paraId="47698C16" w14:textId="77777777" w:rsidR="00066EC8" w:rsidRDefault="00000000">
      <w:pPr>
        <w:pStyle w:val="FirstParagraph"/>
      </w:pPr>
      <w:r>
        <w:t>Note that the S-100 specification [5] describes in Appendix 9-B how S-100 based data models shall be formulated in XML schema format.</w:t>
      </w:r>
    </w:p>
    <w:p w14:paraId="372FF685" w14:textId="77777777" w:rsidR="00066EC8" w:rsidRDefault="00000000">
      <w:pPr>
        <w:pStyle w:val="BodyText"/>
      </w:pPr>
      <w:r>
        <w:t>Since the main purpose of the discussed service is to provide AtoN information to ECDIS, the S-125 information should be packaged as S-100 datasets, alongside any necessary metadata and other support information. The S-100 data model specification [5] in Appendix 4aS-100 Part 17, introduces the Exchange Set data structure, precisely for supporting this functionality. To indicate that S-125 datasets are coupled with additional service metadata, we refer to the type S100ExchangeSet (see Figure 11).</w:t>
      </w:r>
    </w:p>
    <w:p w14:paraId="46110D94" w14:textId="77777777" w:rsidR="00066EC8" w:rsidRDefault="00000000">
      <w:pPr>
        <w:pStyle w:val="CaptionedFigure"/>
      </w:pPr>
      <w:r>
        <w:rPr>
          <w:noProof/>
        </w:rPr>
        <w:drawing>
          <wp:inline distT="0" distB="0" distL="0" distR="0" wp14:anchorId="750D104C" wp14:editId="113719F7">
            <wp:extent cx="4210050" cy="1666875"/>
            <wp:effectExtent l="0" t="0" r="0" b="0"/>
            <wp:docPr id="11" name="Picture" descr="S-125 dataset coupled with service metadata in an S-100 Exchange Set."/>
            <wp:cNvGraphicFramePr/>
            <a:graphic xmlns:a="http://schemas.openxmlformats.org/drawingml/2006/main">
              <a:graphicData uri="http://schemas.openxmlformats.org/drawingml/2006/picture">
                <pic:pic xmlns:pic="http://schemas.openxmlformats.org/drawingml/2006/picture">
                  <pic:nvPicPr>
                    <pic:cNvPr id="11" name="Picture" descr="source/guideline/../../resources/S125WithMetadata.png"/>
                    <pic:cNvPicPr>
                      <a:picLocks noChangeAspect="1" noChangeArrowheads="1"/>
                    </pic:cNvPicPr>
                  </pic:nvPicPr>
                  <pic:blipFill>
                    <a:blip r:embed="rId36"/>
                    <a:stretch>
                      <a:fillRect/>
                    </a:stretch>
                  </pic:blipFill>
                  <pic:spPr bwMode="auto">
                    <a:xfrm>
                      <a:off x="0" y="0"/>
                      <a:ext cx="4210050" cy="1666875"/>
                    </a:xfrm>
                    <a:prstGeom prst="rect">
                      <a:avLst/>
                    </a:prstGeom>
                    <a:noFill/>
                    <a:ln w="9525">
                      <a:noFill/>
                      <a:headEnd/>
                      <a:tailEnd/>
                    </a:ln>
                  </pic:spPr>
                </pic:pic>
              </a:graphicData>
            </a:graphic>
          </wp:inline>
        </w:drawing>
      </w:r>
    </w:p>
    <w:p w14:paraId="1742C8A0" w14:textId="77777777" w:rsidR="00066EC8" w:rsidRDefault="00000000">
      <w:pPr>
        <w:pStyle w:val="ImageCaption"/>
      </w:pPr>
      <w:bookmarkStart w:id="119" w:name="_Toc225158553"/>
      <w:r>
        <w:t>S-125 dataset coupled with service metadata in an S-100 Exchange Set.</w:t>
      </w:r>
      <w:bookmarkEnd w:id="119"/>
    </w:p>
    <w:p w14:paraId="78175E24" w14:textId="77777777" w:rsidR="00066EC8" w:rsidRDefault="00000000">
      <w:pPr>
        <w:pStyle w:val="Heading1"/>
      </w:pPr>
      <w:bookmarkStart w:id="120" w:name="service-internal-data-model"/>
      <w:bookmarkStart w:id="121" w:name="_Toc225158536"/>
      <w:bookmarkEnd w:id="117"/>
      <w:r>
        <w:t>Service Internal Data Model</w:t>
      </w:r>
      <w:bookmarkEnd w:id="121"/>
    </w:p>
    <w:p w14:paraId="338377E0" w14:textId="77777777" w:rsidR="00066EC8" w:rsidRDefault="00000000">
      <w:pPr>
        <w:pStyle w:val="FirstParagraph"/>
      </w:pPr>
      <w:r>
        <w:t>As the S-125 data model, used to represent the transmitted data, is developed independently from this service specification, the internal data model of the service should be adequate to generate the required S-125 datasets. In addition, a way to store service metadata that are not directly related to the data model (internal service identifies, signatures, etc.) is required. For further information, refer to IALA Guideline 1157. However, these metadata are mostly implementation specific and therefore are not discussed in this service specification. Examples on how to implement this functionality can also be found in the IMO’s S-100 data model specification [5], as well as the SECOM standard [4].</w:t>
      </w:r>
    </w:p>
    <w:p w14:paraId="559A9C53" w14:textId="77777777" w:rsidR="00066EC8" w:rsidRDefault="00000000">
      <w:r>
        <w:br w:type="page"/>
      </w:r>
    </w:p>
    <w:p w14:paraId="276BEEBA" w14:textId="77777777" w:rsidR="00066EC8" w:rsidRDefault="00000000">
      <w:pPr>
        <w:pStyle w:val="Heading1"/>
      </w:pPr>
      <w:bookmarkStart w:id="122" w:name="sec:dynamic_behaviour"/>
      <w:bookmarkStart w:id="123" w:name="_Toc225158537"/>
      <w:bookmarkEnd w:id="120"/>
      <w:r>
        <w:lastRenderedPageBreak/>
        <w:t>Service Dynamic Behaviour</w:t>
      </w:r>
      <w:bookmarkEnd w:id="123"/>
    </w:p>
    <w:p w14:paraId="72B20F7D" w14:textId="77777777" w:rsidR="00066EC8" w:rsidRDefault="00000000">
      <w:pPr>
        <w:pStyle w:val="FirstParagraph"/>
      </w:pPr>
      <w:r>
        <w:t>This section describes the interactive behaviour of the operations between the service provider and the service consumers. The AtoN Information service supports two different types of operations, namely the client-initiated retrieval of AtoN information, and the subscription-based AtoN information propagation. Both are discussed in the following sections respectively.</w:t>
      </w:r>
    </w:p>
    <w:p w14:paraId="340917E9" w14:textId="77777777" w:rsidR="00066EC8" w:rsidRDefault="00000000">
      <w:pPr>
        <w:pStyle w:val="BodyText"/>
      </w:pPr>
      <w:r>
        <w:rPr>
          <w:b/>
          <w:bCs/>
        </w:rPr>
        <w:t>Note</w:t>
      </w:r>
      <w:r>
        <w:t>: The description of the behaviour of the aforementioned operations, is provided in an abstract manner, where generic actions are performed on technology-agnostic endpoints. The implementation of each of these operations is left to be decided by any extending service design documents. In addition, any specific authentication procedure that is being applied is out of scope of the service specification and is described in the service designs of this service.</w:t>
      </w:r>
    </w:p>
    <w:p w14:paraId="5BE715E4" w14:textId="77777777" w:rsidR="00066EC8" w:rsidRDefault="00000000">
      <w:pPr>
        <w:pStyle w:val="Heading1"/>
      </w:pPr>
      <w:bookmarkStart w:id="124" w:name="Xa8c46ada8d3a71107c9f5d2dc04e5eb37dc6132"/>
      <w:bookmarkStart w:id="125" w:name="_Toc225158538"/>
      <w:bookmarkEnd w:id="122"/>
      <w:r>
        <w:t>Client-initiated Retrieval of AtoN Information</w:t>
      </w:r>
      <w:bookmarkEnd w:id="125"/>
    </w:p>
    <w:p w14:paraId="4B3FBA46" w14:textId="77777777" w:rsidR="00066EC8" w:rsidRDefault="00000000">
      <w:pPr>
        <w:pStyle w:val="FirstParagraph"/>
      </w:pPr>
      <w:r>
        <w:t xml:space="preserve">The client-initiated retrieval is triggered by the service consumer, when it issues request on the appropriate service provider operations (i.e. Get and Get Summary). This operation covers Use </w:t>
      </w:r>
      <w:r>
        <w:rPr>
          <w:b/>
          <w:bCs/>
          <w:i/>
          <w:iCs/>
        </w:rPr>
        <w:t>Case #1</w:t>
      </w:r>
      <w:r>
        <w:t xml:space="preserve">, </w:t>
      </w:r>
      <w:r>
        <w:rPr>
          <w:b/>
          <w:bCs/>
          <w:i/>
          <w:iCs/>
        </w:rPr>
        <w:t>Use Case #2</w:t>
      </w:r>
      <w:r>
        <w:t xml:space="preserve"> and </w:t>
      </w:r>
      <w:r>
        <w:rPr>
          <w:b/>
          <w:bCs/>
          <w:i/>
          <w:iCs/>
        </w:rPr>
        <w:t>Use Case #4</w:t>
      </w:r>
      <w:r>
        <w:t>, as outlined in Section Section 3.4.4. All three use cases can be achieved by two methods; either by directly requesting specific S-125 datasets, using the operation parameters of the Get operation, or by first requesting the S-125 dataset summary information through the Get Summary operation, and then using the provided dataset reference identifiers, to retrieve the corresponding S-125 datasets.</w:t>
      </w:r>
    </w:p>
    <w:p w14:paraId="66D9DF3A" w14:textId="77777777" w:rsidR="00066EC8" w:rsidRDefault="00000000">
      <w:pPr>
        <w:pStyle w:val="BodyText"/>
      </w:pPr>
      <w:r>
        <w:t>The first method is presented in Figure 12, where the service consumer contacts directly the Get operation of the service provider. By utilising the available operation parameters such as the geometry, area name, time-period and AtoN identifier, only specific S-125 datasets matching the specified criteria and/or have updates on the specified time-period interval, will be retrieved, packaged into an S-100 Exchange Set, and returned as a response.</w:t>
      </w:r>
    </w:p>
    <w:p w14:paraId="4F559F11" w14:textId="77777777" w:rsidR="00066EC8" w:rsidRDefault="00000000">
      <w:pPr>
        <w:pStyle w:val="CaptionedFigure"/>
      </w:pPr>
      <w:r>
        <w:rPr>
          <w:noProof/>
        </w:rPr>
        <w:drawing>
          <wp:inline distT="0" distB="0" distL="0" distR="0" wp14:anchorId="09EBD101" wp14:editId="36BDD6A6">
            <wp:extent cx="6477000" cy="2829652"/>
            <wp:effectExtent l="0" t="0" r="0" b="0"/>
            <wp:docPr id="12" name="Picture" descr="diagram"/>
            <wp:cNvGraphicFramePr/>
            <a:graphic xmlns:a="http://schemas.openxmlformats.org/drawingml/2006/main">
              <a:graphicData uri="http://schemas.openxmlformats.org/drawingml/2006/picture">
                <pic:pic xmlns:pic="http://schemas.openxmlformats.org/drawingml/2006/picture">
                  <pic:nvPicPr>
                    <pic:cNvPr id="12" name="Picture" descr="source/guideline/./dynamic_behaviour-1.png"/>
                    <pic:cNvPicPr>
                      <a:picLocks noChangeAspect="1" noChangeArrowheads="1"/>
                    </pic:cNvPicPr>
                  </pic:nvPicPr>
                  <pic:blipFill>
                    <a:blip r:embed="rId37"/>
                    <a:stretch>
                      <a:fillRect/>
                    </a:stretch>
                  </pic:blipFill>
                  <pic:spPr bwMode="auto">
                    <a:xfrm>
                      <a:off x="0" y="0"/>
                      <a:ext cx="6477000" cy="2829652"/>
                    </a:xfrm>
                    <a:prstGeom prst="rect">
                      <a:avLst/>
                    </a:prstGeom>
                    <a:noFill/>
                    <a:ln w="9525">
                      <a:noFill/>
                      <a:headEnd/>
                      <a:tailEnd/>
                    </a:ln>
                  </pic:spPr>
                </pic:pic>
              </a:graphicData>
            </a:graphic>
          </wp:inline>
        </w:drawing>
      </w:r>
    </w:p>
    <w:p w14:paraId="22C437B4" w14:textId="77777777" w:rsidR="00066EC8" w:rsidRDefault="00000000">
      <w:pPr>
        <w:pStyle w:val="ImageCaption"/>
      </w:pPr>
      <w:bookmarkStart w:id="126" w:name="_Toc225158554"/>
      <w:r>
        <w:t>Client-Initiated AtoN Information Retrieval through the Get operation.</w:t>
      </w:r>
      <w:bookmarkEnd w:id="126"/>
    </w:p>
    <w:p w14:paraId="5C99B6C7" w14:textId="77777777" w:rsidR="00066EC8" w:rsidRDefault="00000000">
      <w:pPr>
        <w:pStyle w:val="BodyText"/>
      </w:pPr>
      <w:r>
        <w:t>In cases where the service consumer requires more information, before making a decision on which datasets should be downloaded, the latter “Client-initiated AtoN Information Retrieval” method can be utilised, by contacting the Get Summary operation beforehand. This is demonstrated in Figure 13, where the service consumer requests the list of the available S-125 dataset metadata via the summary operation and directly receives a response from the service provider. The service consumer can then select a dataset reference identifier from the returned list and request the detailed information (i.e. the complete S-125 dataset) back, through the Get operation of the service provider. The corresponding S-125 dataset (and/or its corresponding updates) will be packaged as an S-100 Exchange Set and then get sent back to the service consumer as direct response.</w:t>
      </w:r>
    </w:p>
    <w:p w14:paraId="1005C796" w14:textId="77777777" w:rsidR="00066EC8" w:rsidRDefault="00000000">
      <w:pPr>
        <w:pStyle w:val="CaptionedFigure"/>
      </w:pPr>
      <w:r>
        <w:rPr>
          <w:noProof/>
        </w:rPr>
        <w:lastRenderedPageBreak/>
        <w:drawing>
          <wp:inline distT="0" distB="0" distL="0" distR="0" wp14:anchorId="2BE07C7E" wp14:editId="5E14AD9C">
            <wp:extent cx="6477000" cy="3436973"/>
            <wp:effectExtent l="0" t="0" r="0" b="0"/>
            <wp:docPr id="13" name="Picture" descr="diagram"/>
            <wp:cNvGraphicFramePr/>
            <a:graphic xmlns:a="http://schemas.openxmlformats.org/drawingml/2006/main">
              <a:graphicData uri="http://schemas.openxmlformats.org/drawingml/2006/picture">
                <pic:pic xmlns:pic="http://schemas.openxmlformats.org/drawingml/2006/picture">
                  <pic:nvPicPr>
                    <pic:cNvPr id="13" name="Picture" descr="source/guideline/./dynamic_behaviour-2.png"/>
                    <pic:cNvPicPr>
                      <a:picLocks noChangeAspect="1" noChangeArrowheads="1"/>
                    </pic:cNvPicPr>
                  </pic:nvPicPr>
                  <pic:blipFill>
                    <a:blip r:embed="rId38"/>
                    <a:stretch>
                      <a:fillRect/>
                    </a:stretch>
                  </pic:blipFill>
                  <pic:spPr bwMode="auto">
                    <a:xfrm>
                      <a:off x="0" y="0"/>
                      <a:ext cx="6477000" cy="3436973"/>
                    </a:xfrm>
                    <a:prstGeom prst="rect">
                      <a:avLst/>
                    </a:prstGeom>
                    <a:noFill/>
                    <a:ln w="9525">
                      <a:noFill/>
                      <a:headEnd/>
                      <a:tailEnd/>
                    </a:ln>
                  </pic:spPr>
                </pic:pic>
              </a:graphicData>
            </a:graphic>
          </wp:inline>
        </w:drawing>
      </w:r>
    </w:p>
    <w:p w14:paraId="48C6906C" w14:textId="77777777" w:rsidR="00066EC8" w:rsidRDefault="00000000">
      <w:pPr>
        <w:pStyle w:val="ImageCaption"/>
      </w:pPr>
      <w:bookmarkStart w:id="127" w:name="_Toc225158555"/>
      <w:r>
        <w:t>Client-Initiated AtoN Information Retrieval through the Get Summary operation.</w:t>
      </w:r>
      <w:bookmarkEnd w:id="127"/>
    </w:p>
    <w:p w14:paraId="049F4B4A" w14:textId="77777777" w:rsidR="00066EC8" w:rsidRDefault="00000000">
      <w:pPr>
        <w:pStyle w:val="BodyText"/>
      </w:pPr>
      <w:r>
        <w:t>As demonstrated in Figure 13, the Get Summary operation accepts similar operation parameters as the Get operation, which can be employed to filter the summary response list. This feature improves the flexibility of the whole operation as for example, even if a provided geometry operation parameter matches more than one S-125 datasets, only the required dataset will eventually be retrieved by the service consumer, by using its respective dataset reference identifier.</w:t>
      </w:r>
    </w:p>
    <w:p w14:paraId="6E18175E" w14:textId="77777777" w:rsidR="00066EC8" w:rsidRDefault="00000000">
      <w:pPr>
        <w:pStyle w:val="Heading1"/>
      </w:pPr>
      <w:bookmarkStart w:id="128" w:name="Xe1f4ba8c3d22d57be3c4dbcc66dda18514f615b"/>
      <w:bookmarkStart w:id="129" w:name="_Toc225158539"/>
      <w:bookmarkEnd w:id="124"/>
      <w:r>
        <w:t>Subscription-based AtoN Information Propagation</w:t>
      </w:r>
      <w:bookmarkEnd w:id="129"/>
    </w:p>
    <w:p w14:paraId="2D4567E9" w14:textId="77777777" w:rsidR="00066EC8" w:rsidRDefault="00000000">
      <w:pPr>
        <w:pStyle w:val="FirstParagraph"/>
      </w:pPr>
      <w:r>
        <w:t xml:space="preserve">The subscription on AtoN Information is an alternative method of data propagation, in which a service consumer actively registers its interest to receive updates either on a specific set or alternatively, on all available S-125 datasets. This operation covers Use </w:t>
      </w:r>
      <w:r>
        <w:rPr>
          <w:b/>
          <w:bCs/>
          <w:i/>
          <w:iCs/>
        </w:rPr>
        <w:t>Case #3</w:t>
      </w:r>
      <w:r>
        <w:t>, as outlined in Section Section 3.4.4.</w:t>
      </w:r>
    </w:p>
    <w:p w14:paraId="5AB02BBC" w14:textId="77777777" w:rsidR="00066EC8" w:rsidRDefault="00000000">
      <w:pPr>
        <w:pStyle w:val="BodyText"/>
      </w:pPr>
      <w:r>
        <w:t>Figure 14 illustrates the typical behaviour the subscription operation. Initially, the service consumer is required to initiate the subscription through the Subscription operation of the service provider. By utilising the available operation parameters such as the geometry, the area name and the subscription period, only the specific S-125 datasets matching the specified criteria and have updates during the specified subscription interval will be covered. Once the subscription request has been received, processed and accepted by the service provider, a notification should be sent back to the service consumer, using its Subscription Notification operation. This notification will indicate that the requested subscription has commenced and should include the identifier reference of the established subscription.</w:t>
      </w:r>
    </w:p>
    <w:p w14:paraId="338AC030" w14:textId="77777777" w:rsidR="00066EC8" w:rsidRDefault="00000000">
      <w:pPr>
        <w:pStyle w:val="BodyText"/>
      </w:pPr>
      <w:r>
        <w:t>Whenever an update is made available on the set of S-125 datasets covered by a subscription, the service consumer Upload operation is used to deliver these updates, packaged as S-100 Exchange Sets, to the service consumer. Depending on the implementation of the service, the consumer may be required to respond to this operation by sending an acknowledgement message back to the service provider. This is an optional operation, depending on the implementing technology. Therefore, it is not covered as an operation in this service specification.</w:t>
      </w:r>
    </w:p>
    <w:p w14:paraId="6CFBB2B3" w14:textId="77777777" w:rsidR="00066EC8" w:rsidRDefault="00000000">
      <w:pPr>
        <w:pStyle w:val="BodyText"/>
      </w:pPr>
      <w:r>
        <w:t xml:space="preserve">The subscription updates will continue to be provided until </w:t>
      </w:r>
      <w:r>
        <w:rPr>
          <w:b/>
          <w:bCs/>
        </w:rPr>
        <w:t>one</w:t>
      </w:r>
      <w:r>
        <w:t xml:space="preserve"> of the following conditions are met:</w:t>
      </w:r>
    </w:p>
    <w:p w14:paraId="0F035EE3" w14:textId="77777777" w:rsidR="00066EC8" w:rsidRDefault="00000000">
      <w:pPr>
        <w:pStyle w:val="Compact"/>
        <w:numPr>
          <w:ilvl w:val="0"/>
          <w:numId w:val="85"/>
        </w:numPr>
      </w:pPr>
      <w:r>
        <w:t>The subscription period initially set by the service consumer has expired.</w:t>
      </w:r>
    </w:p>
    <w:p w14:paraId="0F5BE6A3" w14:textId="77777777" w:rsidR="00066EC8" w:rsidRDefault="00000000">
      <w:pPr>
        <w:pStyle w:val="Compact"/>
        <w:numPr>
          <w:ilvl w:val="0"/>
          <w:numId w:val="85"/>
        </w:numPr>
      </w:pPr>
      <w:r>
        <w:lastRenderedPageBreak/>
        <w:t>The service consumer requests an end to the active subscription, using the Remove Subscription operation of the service provider.</w:t>
      </w:r>
    </w:p>
    <w:p w14:paraId="53ABA938" w14:textId="77777777" w:rsidR="00066EC8" w:rsidRDefault="00000000">
      <w:pPr>
        <w:pStyle w:val="Compact"/>
        <w:numPr>
          <w:ilvl w:val="0"/>
          <w:numId w:val="85"/>
        </w:numPr>
      </w:pPr>
      <w:r>
        <w:t>The service provider removes the information objects covered by the subscription.</w:t>
      </w:r>
    </w:p>
    <w:p w14:paraId="7B87B769" w14:textId="77777777" w:rsidR="00066EC8" w:rsidRDefault="00000000">
      <w:pPr>
        <w:pStyle w:val="Compact"/>
        <w:numPr>
          <w:ilvl w:val="0"/>
          <w:numId w:val="85"/>
        </w:numPr>
      </w:pPr>
      <w:r>
        <w:t>An expected incident/unexpected error forces the service provider to terminate the subscription.</w:t>
      </w:r>
    </w:p>
    <w:p w14:paraId="209430D5" w14:textId="77777777" w:rsidR="00066EC8" w:rsidRDefault="00000000">
      <w:pPr>
        <w:pStyle w:val="CaptionedFigure"/>
      </w:pPr>
      <w:r>
        <w:rPr>
          <w:noProof/>
        </w:rPr>
        <w:drawing>
          <wp:inline distT="0" distB="0" distL="0" distR="0" wp14:anchorId="5A553095" wp14:editId="1135A816">
            <wp:extent cx="6477000" cy="4592449"/>
            <wp:effectExtent l="0" t="0" r="0" b="0"/>
            <wp:docPr id="14" name="Picture" descr="diagram"/>
            <wp:cNvGraphicFramePr/>
            <a:graphic xmlns:a="http://schemas.openxmlformats.org/drawingml/2006/main">
              <a:graphicData uri="http://schemas.openxmlformats.org/drawingml/2006/picture">
                <pic:pic xmlns:pic="http://schemas.openxmlformats.org/drawingml/2006/picture">
                  <pic:nvPicPr>
                    <pic:cNvPr id="14" name="Picture" descr="source/guideline/./dynamic_behaviour-3.png"/>
                    <pic:cNvPicPr>
                      <a:picLocks noChangeAspect="1" noChangeArrowheads="1"/>
                    </pic:cNvPicPr>
                  </pic:nvPicPr>
                  <pic:blipFill>
                    <a:blip r:embed="rId39"/>
                    <a:stretch>
                      <a:fillRect/>
                    </a:stretch>
                  </pic:blipFill>
                  <pic:spPr bwMode="auto">
                    <a:xfrm>
                      <a:off x="0" y="0"/>
                      <a:ext cx="6477000" cy="4592449"/>
                    </a:xfrm>
                    <a:prstGeom prst="rect">
                      <a:avLst/>
                    </a:prstGeom>
                    <a:noFill/>
                    <a:ln w="9525">
                      <a:noFill/>
                      <a:headEnd/>
                      <a:tailEnd/>
                    </a:ln>
                  </pic:spPr>
                </pic:pic>
              </a:graphicData>
            </a:graphic>
          </wp:inline>
        </w:drawing>
      </w:r>
    </w:p>
    <w:p w14:paraId="70220E41" w14:textId="77777777" w:rsidR="00066EC8" w:rsidRDefault="00000000">
      <w:pPr>
        <w:pStyle w:val="ImageCaption"/>
      </w:pPr>
      <w:bookmarkStart w:id="130" w:name="_Toc225158556"/>
      <w:r>
        <w:t>Subscription requested by external service.</w:t>
      </w:r>
      <w:bookmarkEnd w:id="130"/>
    </w:p>
    <w:p w14:paraId="6589BA43" w14:textId="77777777" w:rsidR="00066EC8" w:rsidRDefault="00000000">
      <w:pPr>
        <w:pStyle w:val="BodyText"/>
      </w:pPr>
      <w:r>
        <w:t>In the sequence diagram presented in Figure 14, the established subscription is terminated though a service consumer request. This should include the identifier reference of the subscription to be terminated, otherwise the service provider will terminate all active subscriptions for the service consumer performing the request. Once the service consumer’s request has been received, processed, and accepted by the service provider, another notification will be sent back to the service consumer’s Subscription Notification operation, to terminate the subscription process.</w:t>
      </w:r>
    </w:p>
    <w:p w14:paraId="6FBB96D8" w14:textId="77777777" w:rsidR="00066EC8" w:rsidRDefault="00000000">
      <w:pPr>
        <w:pStyle w:val="BodyText"/>
      </w:pPr>
      <w:r>
        <w:t>Note that the full contents of the S-125 datasets covered by a subscription, are not send back to the service consumer, unless a new dataset is created within the active period of an existing subscription that covers it. In all other cases, only the S-125 dataset changes will be transferred, in order to conserve bandwidth. Therefore, service consumer needs to utilise the Get (and Get Summary) operations, if the full contents of the S-125 datasets are required.</w:t>
      </w:r>
    </w:p>
    <w:p w14:paraId="0A96DC00" w14:textId="77777777" w:rsidR="00066EC8" w:rsidRDefault="00000000">
      <w:r>
        <w:br w:type="page"/>
      </w:r>
    </w:p>
    <w:p w14:paraId="5882A578" w14:textId="77777777" w:rsidR="00066EC8" w:rsidRDefault="00000000">
      <w:pPr>
        <w:pStyle w:val="Heading1"/>
      </w:pPr>
      <w:bookmarkStart w:id="131" w:name="references"/>
      <w:bookmarkStart w:id="132" w:name="_Toc225158540"/>
      <w:bookmarkEnd w:id="128"/>
      <w:r>
        <w:lastRenderedPageBreak/>
        <w:t>References</w:t>
      </w:r>
      <w:bookmarkEnd w:id="132"/>
    </w:p>
    <w:p w14:paraId="2712D2A6" w14:textId="77777777" w:rsidR="00066EC8" w:rsidRDefault="00000000">
      <w:bookmarkStart w:id="133" w:name="refs"/>
      <w:bookmarkStart w:id="134" w:name="ref-cite:iala-g1128"/>
      <w:r>
        <w:t xml:space="preserve">[1] </w:t>
      </w:r>
      <w:r>
        <w:tab/>
        <w:t xml:space="preserve">International Organization for Marine Aids to Navigation (IALA), “The specification of e-navigation technical services,” Guideline 1128. Available: </w:t>
      </w:r>
      <w:hyperlink r:id="rId40">
        <w:r>
          <w:rPr>
            <w:rStyle w:val="Hyperlink"/>
          </w:rPr>
          <w:t>https://www.iala.int/product/g1128/</w:t>
        </w:r>
      </w:hyperlink>
    </w:p>
    <w:p w14:paraId="1827ECEB" w14:textId="77777777" w:rsidR="00066EC8" w:rsidRDefault="00000000">
      <w:bookmarkStart w:id="135" w:name="ref-cite:iala-ms2"/>
      <w:bookmarkEnd w:id="131"/>
      <w:r>
        <w:t xml:space="preserve">[2] </w:t>
      </w:r>
      <w:r>
        <w:tab/>
        <w:t xml:space="preserve">International Organization for Marine Aids to Navigation (IALA), “MS-2 – aids to navigation maritime service – IALA g-1155 maritime service description,” Guideline XXXX. Available: </w:t>
      </w:r>
      <w:hyperlink r:id="rId41">
        <w:r>
          <w:rPr>
            <w:rStyle w:val="Hyperlink"/>
          </w:rPr>
          <w:t>https://www.iala.int/product/gXXXX/</w:t>
        </w:r>
      </w:hyperlink>
    </w:p>
    <w:p w14:paraId="4EB8B934" w14:textId="77777777" w:rsidR="00066EC8" w:rsidRDefault="00000000">
      <w:bookmarkStart w:id="136" w:name="ref-cite:iala-g1143"/>
      <w:bookmarkEnd w:id="133"/>
      <w:r>
        <w:t xml:space="preserve">[3] </w:t>
      </w:r>
      <w:r>
        <w:tab/>
        <w:t xml:space="preserve">International Organization for Marine Aids to Navigation (IALA), “Unique identifiers for maritime resources,” Guideline 1143. Available: </w:t>
      </w:r>
      <w:hyperlink r:id="rId42">
        <w:r>
          <w:rPr>
            <w:rStyle w:val="Hyperlink"/>
          </w:rPr>
          <w:t>https://www.iala.int/product/g1143/</w:t>
        </w:r>
      </w:hyperlink>
    </w:p>
    <w:p w14:paraId="1FA5E4D2" w14:textId="77777777" w:rsidR="00066EC8" w:rsidRDefault="00000000">
      <w:bookmarkStart w:id="137" w:name="ref-cite:iec-63173-2"/>
      <w:bookmarkEnd w:id="134"/>
      <w:r>
        <w:t xml:space="preserve">[4] </w:t>
      </w:r>
      <w:r>
        <w:tab/>
        <w:t xml:space="preserve">International Electrotechnical Commission (IEC), “Maritime navigation and radiocommunication equipment and systems - data interfaces - part 2: Secure communication between ship and shore (SECOM),” Guideline 63173-2. Available: </w:t>
      </w:r>
      <w:hyperlink r:id="rId43">
        <w:r>
          <w:rPr>
            <w:rStyle w:val="Hyperlink"/>
          </w:rPr>
          <w:t>https://webstore.iec.ch/en/publication/64543</w:t>
        </w:r>
      </w:hyperlink>
    </w:p>
    <w:p w14:paraId="3A481977" w14:textId="77777777" w:rsidR="00066EC8" w:rsidRDefault="00000000">
      <w:bookmarkStart w:id="138" w:name="ref-cite:iho-s100"/>
      <w:bookmarkEnd w:id="135"/>
      <w:r>
        <w:t xml:space="preserve">[5] </w:t>
      </w:r>
      <w:r>
        <w:tab/>
        <w:t xml:space="preserve">International Hydrographic Organization (IHO), “S-100 – universal hydrographic data model,” Standard 5.2.0. Available: </w:t>
      </w:r>
      <w:hyperlink r:id="rId44">
        <w:r>
          <w:rPr>
            <w:rStyle w:val="Hyperlink"/>
          </w:rPr>
          <w:t>https://iho.int/uploads/user/pubs/standards/s-100/S-100_5.2.0_Final_Clean.pdf</w:t>
        </w:r>
      </w:hyperlink>
    </w:p>
    <w:bookmarkEnd w:id="136"/>
    <w:bookmarkEnd w:id="137"/>
    <w:p w14:paraId="7B05C783" w14:textId="77777777" w:rsidR="00066EC8" w:rsidRDefault="00000000">
      <w:r>
        <w:br w:type="page"/>
      </w:r>
    </w:p>
    <w:p w14:paraId="27C3F244" w14:textId="77777777" w:rsidR="00066EC8" w:rsidRDefault="00000000">
      <w:pPr>
        <w:pStyle w:val="Heading1"/>
      </w:pPr>
      <w:bookmarkStart w:id="139" w:name="sec:acronyms_and_terminology"/>
      <w:bookmarkStart w:id="140" w:name="_Toc225158541"/>
      <w:bookmarkEnd w:id="138"/>
      <w:r>
        <w:lastRenderedPageBreak/>
        <w:t>Acronyms and Terminology</w:t>
      </w:r>
      <w:bookmarkEnd w:id="140"/>
    </w:p>
    <w:p w14:paraId="2331CFFB" w14:textId="77777777" w:rsidR="00066EC8" w:rsidRDefault="00000000">
      <w:pPr>
        <w:pStyle w:val="Heading2"/>
      </w:pPr>
      <w:bookmarkStart w:id="141" w:name="sec:acronyms"/>
      <w:bookmarkStart w:id="142" w:name="_Toc225158542"/>
      <w:r>
        <w:t>Acronyms</w:t>
      </w:r>
      <w:bookmarkEnd w:id="142"/>
    </w:p>
    <w:p w14:paraId="49048947" w14:textId="77777777" w:rsidR="00066EC8" w:rsidRDefault="00000000">
      <w:pPr>
        <w:pStyle w:val="TableCaption"/>
      </w:pPr>
      <w:bookmarkStart w:id="143" w:name="tbl:acronyms"/>
      <w:bookmarkStart w:id="144" w:name="_Toc225158453"/>
      <w:r>
        <w:t>List of Acronyms</w:t>
      </w:r>
      <w:bookmarkEnd w:id="144"/>
    </w:p>
    <w:tbl>
      <w:tblPr>
        <w:tblStyle w:val="Table"/>
        <w:tblW w:w="0" w:type="auto"/>
        <w:tblLook w:val="0020" w:firstRow="1" w:lastRow="0" w:firstColumn="0" w:lastColumn="0" w:noHBand="0" w:noVBand="0"/>
        <w:tblCaption w:val="List of Acronyms"/>
      </w:tblPr>
      <w:tblGrid>
        <w:gridCol w:w="702"/>
        <w:gridCol w:w="3064"/>
      </w:tblGrid>
      <w:tr w:rsidR="00066EC8" w14:paraId="31C6551C"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4E13525E" w14:textId="77777777" w:rsidR="00066EC8" w:rsidRDefault="00000000">
            <w:pPr>
              <w:pStyle w:val="Compact"/>
            </w:pPr>
            <w:r>
              <w:t>Term</w:t>
            </w:r>
          </w:p>
        </w:tc>
        <w:tc>
          <w:tcPr>
            <w:tcW w:w="0" w:type="auto"/>
          </w:tcPr>
          <w:p w14:paraId="564BB75D" w14:textId="77777777" w:rsidR="00066EC8" w:rsidRDefault="00000000">
            <w:pPr>
              <w:pStyle w:val="Compact"/>
            </w:pPr>
            <w:r>
              <w:t>Definition</w:t>
            </w:r>
          </w:p>
        </w:tc>
      </w:tr>
      <w:tr w:rsidR="00066EC8" w14:paraId="1A1E7F56" w14:textId="77777777">
        <w:tc>
          <w:tcPr>
            <w:tcW w:w="0" w:type="auto"/>
          </w:tcPr>
          <w:p w14:paraId="20BBE359" w14:textId="77777777" w:rsidR="00066EC8" w:rsidRDefault="00000000">
            <w:pPr>
              <w:pStyle w:val="Compact"/>
            </w:pPr>
            <w:r>
              <w:rPr>
                <w:b/>
                <w:bCs/>
                <w:i/>
                <w:iCs/>
              </w:rPr>
              <w:t>API</w:t>
            </w:r>
          </w:p>
        </w:tc>
        <w:tc>
          <w:tcPr>
            <w:tcW w:w="0" w:type="auto"/>
          </w:tcPr>
          <w:p w14:paraId="630D8E71" w14:textId="77777777" w:rsidR="00066EC8" w:rsidRDefault="00000000">
            <w:pPr>
              <w:pStyle w:val="Compact"/>
            </w:pPr>
            <w:r>
              <w:t>Application Programming Interface</w:t>
            </w:r>
          </w:p>
        </w:tc>
      </w:tr>
      <w:tr w:rsidR="00066EC8" w14:paraId="0CE6DDDB" w14:textId="77777777">
        <w:tc>
          <w:tcPr>
            <w:tcW w:w="0" w:type="auto"/>
          </w:tcPr>
          <w:p w14:paraId="1F07CA81" w14:textId="77777777" w:rsidR="00066EC8" w:rsidRDefault="00000000">
            <w:pPr>
              <w:pStyle w:val="Compact"/>
            </w:pPr>
            <w:r>
              <w:rPr>
                <w:b/>
                <w:bCs/>
                <w:i/>
                <w:iCs/>
              </w:rPr>
              <w:t>MC</w:t>
            </w:r>
          </w:p>
        </w:tc>
        <w:tc>
          <w:tcPr>
            <w:tcW w:w="0" w:type="auto"/>
          </w:tcPr>
          <w:p w14:paraId="08F07C8D" w14:textId="77777777" w:rsidR="00066EC8" w:rsidRDefault="00000000">
            <w:pPr>
              <w:pStyle w:val="Compact"/>
            </w:pPr>
            <w:r>
              <w:t>Maritime Cloud</w:t>
            </w:r>
          </w:p>
        </w:tc>
      </w:tr>
      <w:tr w:rsidR="00066EC8" w14:paraId="10708F65" w14:textId="77777777">
        <w:tc>
          <w:tcPr>
            <w:tcW w:w="0" w:type="auto"/>
          </w:tcPr>
          <w:p w14:paraId="0FD9C99E" w14:textId="77777777" w:rsidR="00066EC8" w:rsidRDefault="00000000">
            <w:pPr>
              <w:pStyle w:val="Compact"/>
            </w:pPr>
            <w:r>
              <w:rPr>
                <w:b/>
                <w:bCs/>
                <w:i/>
                <w:iCs/>
              </w:rPr>
              <w:t>MEP</w:t>
            </w:r>
          </w:p>
        </w:tc>
        <w:tc>
          <w:tcPr>
            <w:tcW w:w="0" w:type="auto"/>
          </w:tcPr>
          <w:p w14:paraId="31186893" w14:textId="77777777" w:rsidR="00066EC8" w:rsidRDefault="00000000">
            <w:pPr>
              <w:pStyle w:val="Compact"/>
            </w:pPr>
            <w:r>
              <w:t>Message Exchange Pattern</w:t>
            </w:r>
          </w:p>
        </w:tc>
      </w:tr>
      <w:tr w:rsidR="00066EC8" w14:paraId="20DAE3DC" w14:textId="77777777">
        <w:tc>
          <w:tcPr>
            <w:tcW w:w="0" w:type="auto"/>
          </w:tcPr>
          <w:p w14:paraId="4939CDD0" w14:textId="77777777" w:rsidR="00066EC8" w:rsidRDefault="00000000">
            <w:pPr>
              <w:pStyle w:val="Compact"/>
            </w:pPr>
            <w:r>
              <w:rPr>
                <w:b/>
                <w:bCs/>
                <w:i/>
                <w:iCs/>
              </w:rPr>
              <w:t>MRN</w:t>
            </w:r>
          </w:p>
        </w:tc>
        <w:tc>
          <w:tcPr>
            <w:tcW w:w="0" w:type="auto"/>
          </w:tcPr>
          <w:p w14:paraId="49998046" w14:textId="77777777" w:rsidR="00066EC8" w:rsidRDefault="00000000">
            <w:pPr>
              <w:pStyle w:val="Compact"/>
            </w:pPr>
            <w:r>
              <w:t>Maritime Resource Name</w:t>
            </w:r>
          </w:p>
        </w:tc>
      </w:tr>
      <w:tr w:rsidR="00066EC8" w14:paraId="4694FA03" w14:textId="77777777">
        <w:tc>
          <w:tcPr>
            <w:tcW w:w="0" w:type="auto"/>
          </w:tcPr>
          <w:p w14:paraId="08642E04" w14:textId="77777777" w:rsidR="00066EC8" w:rsidRDefault="00000000">
            <w:pPr>
              <w:pStyle w:val="Compact"/>
            </w:pPr>
            <w:r>
              <w:rPr>
                <w:b/>
                <w:bCs/>
                <w:i/>
                <w:iCs/>
              </w:rPr>
              <w:t>NAF</w:t>
            </w:r>
          </w:p>
        </w:tc>
        <w:tc>
          <w:tcPr>
            <w:tcW w:w="0" w:type="auto"/>
          </w:tcPr>
          <w:p w14:paraId="064600AF" w14:textId="77777777" w:rsidR="00066EC8" w:rsidRDefault="00000000">
            <w:pPr>
              <w:pStyle w:val="Compact"/>
            </w:pPr>
            <w:r>
              <w:t>NATO Architectural Framework</w:t>
            </w:r>
          </w:p>
        </w:tc>
      </w:tr>
      <w:tr w:rsidR="00066EC8" w14:paraId="489137EF" w14:textId="77777777">
        <w:tc>
          <w:tcPr>
            <w:tcW w:w="0" w:type="auto"/>
          </w:tcPr>
          <w:p w14:paraId="5C482705" w14:textId="77777777" w:rsidR="00066EC8" w:rsidRDefault="00000000">
            <w:pPr>
              <w:pStyle w:val="Compact"/>
            </w:pPr>
            <w:r>
              <w:rPr>
                <w:b/>
                <w:bCs/>
                <w:i/>
                <w:iCs/>
              </w:rPr>
              <w:t>REST</w:t>
            </w:r>
          </w:p>
        </w:tc>
        <w:tc>
          <w:tcPr>
            <w:tcW w:w="0" w:type="auto"/>
          </w:tcPr>
          <w:p w14:paraId="570DD42A" w14:textId="77777777" w:rsidR="00066EC8" w:rsidRDefault="00000000">
            <w:pPr>
              <w:pStyle w:val="Compact"/>
            </w:pPr>
            <w:r>
              <w:t>Representational State Transfer</w:t>
            </w:r>
          </w:p>
        </w:tc>
      </w:tr>
      <w:tr w:rsidR="00066EC8" w14:paraId="41BF993D" w14:textId="77777777">
        <w:tc>
          <w:tcPr>
            <w:tcW w:w="0" w:type="auto"/>
          </w:tcPr>
          <w:p w14:paraId="061B9C27" w14:textId="77777777" w:rsidR="00066EC8" w:rsidRDefault="00000000">
            <w:pPr>
              <w:pStyle w:val="Compact"/>
            </w:pPr>
            <w:r>
              <w:rPr>
                <w:b/>
                <w:bCs/>
                <w:i/>
                <w:iCs/>
              </w:rPr>
              <w:t>SOA</w:t>
            </w:r>
          </w:p>
        </w:tc>
        <w:tc>
          <w:tcPr>
            <w:tcW w:w="0" w:type="auto"/>
          </w:tcPr>
          <w:p w14:paraId="6C422CDA" w14:textId="77777777" w:rsidR="00066EC8" w:rsidRDefault="00000000">
            <w:pPr>
              <w:pStyle w:val="Compact"/>
            </w:pPr>
            <w:r>
              <w:t>Service Oriented Architecture</w:t>
            </w:r>
          </w:p>
        </w:tc>
      </w:tr>
      <w:tr w:rsidR="00066EC8" w14:paraId="07FACE34" w14:textId="77777777">
        <w:tc>
          <w:tcPr>
            <w:tcW w:w="0" w:type="auto"/>
          </w:tcPr>
          <w:p w14:paraId="6E667E51" w14:textId="77777777" w:rsidR="00066EC8" w:rsidRDefault="00000000">
            <w:pPr>
              <w:pStyle w:val="Compact"/>
            </w:pPr>
            <w:r>
              <w:rPr>
                <w:b/>
                <w:bCs/>
                <w:i/>
                <w:iCs/>
              </w:rPr>
              <w:t>SOAP</w:t>
            </w:r>
          </w:p>
        </w:tc>
        <w:tc>
          <w:tcPr>
            <w:tcW w:w="0" w:type="auto"/>
          </w:tcPr>
          <w:p w14:paraId="6D08DC5D" w14:textId="77777777" w:rsidR="00066EC8" w:rsidRDefault="00000000">
            <w:pPr>
              <w:pStyle w:val="Compact"/>
            </w:pPr>
            <w:r>
              <w:t>Simple Object Access Protocol</w:t>
            </w:r>
          </w:p>
        </w:tc>
      </w:tr>
      <w:tr w:rsidR="00066EC8" w14:paraId="36E4F420" w14:textId="77777777">
        <w:tc>
          <w:tcPr>
            <w:tcW w:w="0" w:type="auto"/>
          </w:tcPr>
          <w:p w14:paraId="3BC56274" w14:textId="77777777" w:rsidR="00066EC8" w:rsidRDefault="00000000">
            <w:pPr>
              <w:pStyle w:val="Compact"/>
            </w:pPr>
            <w:r>
              <w:rPr>
                <w:b/>
                <w:bCs/>
                <w:i/>
                <w:iCs/>
              </w:rPr>
              <w:t>SSD</w:t>
            </w:r>
          </w:p>
        </w:tc>
        <w:tc>
          <w:tcPr>
            <w:tcW w:w="0" w:type="auto"/>
          </w:tcPr>
          <w:p w14:paraId="1E5ED382" w14:textId="77777777" w:rsidR="00066EC8" w:rsidRDefault="00000000">
            <w:pPr>
              <w:pStyle w:val="Compact"/>
            </w:pPr>
            <w:r>
              <w:t>Service Specification Document</w:t>
            </w:r>
          </w:p>
        </w:tc>
      </w:tr>
      <w:tr w:rsidR="00066EC8" w14:paraId="7DFD3A6F" w14:textId="77777777">
        <w:tc>
          <w:tcPr>
            <w:tcW w:w="0" w:type="auto"/>
          </w:tcPr>
          <w:p w14:paraId="0876378F" w14:textId="77777777" w:rsidR="00066EC8" w:rsidRDefault="00000000">
            <w:pPr>
              <w:pStyle w:val="Compact"/>
            </w:pPr>
            <w:r>
              <w:rPr>
                <w:b/>
                <w:bCs/>
                <w:i/>
                <w:iCs/>
              </w:rPr>
              <w:t>UML</w:t>
            </w:r>
          </w:p>
        </w:tc>
        <w:tc>
          <w:tcPr>
            <w:tcW w:w="0" w:type="auto"/>
          </w:tcPr>
          <w:p w14:paraId="3A3E2AD0" w14:textId="77777777" w:rsidR="00066EC8" w:rsidRDefault="00000000">
            <w:pPr>
              <w:pStyle w:val="Compact"/>
            </w:pPr>
            <w:r>
              <w:t>Unified Modelling Language</w:t>
            </w:r>
          </w:p>
        </w:tc>
      </w:tr>
      <w:tr w:rsidR="00066EC8" w14:paraId="1F3DC57B" w14:textId="77777777">
        <w:tc>
          <w:tcPr>
            <w:tcW w:w="0" w:type="auto"/>
          </w:tcPr>
          <w:p w14:paraId="76B7C276" w14:textId="77777777" w:rsidR="00066EC8" w:rsidRDefault="00000000">
            <w:pPr>
              <w:pStyle w:val="Compact"/>
            </w:pPr>
            <w:r>
              <w:rPr>
                <w:b/>
                <w:bCs/>
                <w:i/>
                <w:iCs/>
              </w:rPr>
              <w:t>URL</w:t>
            </w:r>
          </w:p>
        </w:tc>
        <w:tc>
          <w:tcPr>
            <w:tcW w:w="0" w:type="auto"/>
          </w:tcPr>
          <w:p w14:paraId="02AC18BD" w14:textId="77777777" w:rsidR="00066EC8" w:rsidRDefault="00000000">
            <w:pPr>
              <w:pStyle w:val="Compact"/>
            </w:pPr>
            <w:r>
              <w:t>Uniform Resource Locator</w:t>
            </w:r>
          </w:p>
        </w:tc>
      </w:tr>
      <w:tr w:rsidR="00066EC8" w14:paraId="506F7673" w14:textId="77777777">
        <w:tc>
          <w:tcPr>
            <w:tcW w:w="0" w:type="auto"/>
          </w:tcPr>
          <w:p w14:paraId="1FCDC9B8" w14:textId="77777777" w:rsidR="00066EC8" w:rsidRDefault="00000000">
            <w:pPr>
              <w:pStyle w:val="Compact"/>
            </w:pPr>
            <w:r>
              <w:rPr>
                <w:b/>
                <w:bCs/>
                <w:i/>
                <w:iCs/>
              </w:rPr>
              <w:t>VTS</w:t>
            </w:r>
          </w:p>
        </w:tc>
        <w:tc>
          <w:tcPr>
            <w:tcW w:w="0" w:type="auto"/>
          </w:tcPr>
          <w:p w14:paraId="34C04DA5" w14:textId="77777777" w:rsidR="00066EC8" w:rsidRDefault="00000000">
            <w:pPr>
              <w:pStyle w:val="Compact"/>
            </w:pPr>
            <w:r>
              <w:t>Vessel Traffic Service</w:t>
            </w:r>
          </w:p>
        </w:tc>
      </w:tr>
      <w:tr w:rsidR="00066EC8" w14:paraId="2059DF16" w14:textId="77777777">
        <w:tc>
          <w:tcPr>
            <w:tcW w:w="0" w:type="auto"/>
          </w:tcPr>
          <w:p w14:paraId="5F200CDE" w14:textId="77777777" w:rsidR="00066EC8" w:rsidRDefault="00000000">
            <w:pPr>
              <w:pStyle w:val="Compact"/>
            </w:pPr>
            <w:r>
              <w:rPr>
                <w:b/>
                <w:bCs/>
                <w:i/>
                <w:iCs/>
              </w:rPr>
              <w:t>WSDL</w:t>
            </w:r>
          </w:p>
        </w:tc>
        <w:tc>
          <w:tcPr>
            <w:tcW w:w="0" w:type="auto"/>
          </w:tcPr>
          <w:p w14:paraId="6B9A7A7C" w14:textId="77777777" w:rsidR="00066EC8" w:rsidRDefault="00000000">
            <w:pPr>
              <w:pStyle w:val="Compact"/>
            </w:pPr>
            <w:r>
              <w:t>Web Service Definition Language</w:t>
            </w:r>
          </w:p>
        </w:tc>
      </w:tr>
      <w:tr w:rsidR="00066EC8" w14:paraId="43676D88" w14:textId="77777777">
        <w:tc>
          <w:tcPr>
            <w:tcW w:w="0" w:type="auto"/>
          </w:tcPr>
          <w:p w14:paraId="32D0022B" w14:textId="77777777" w:rsidR="00066EC8" w:rsidRDefault="00000000">
            <w:pPr>
              <w:pStyle w:val="Compact"/>
            </w:pPr>
            <w:r>
              <w:rPr>
                <w:b/>
                <w:bCs/>
                <w:i/>
                <w:iCs/>
              </w:rPr>
              <w:t>XML</w:t>
            </w:r>
          </w:p>
        </w:tc>
        <w:tc>
          <w:tcPr>
            <w:tcW w:w="0" w:type="auto"/>
          </w:tcPr>
          <w:p w14:paraId="70F007C8" w14:textId="77777777" w:rsidR="00066EC8" w:rsidRDefault="00000000">
            <w:pPr>
              <w:pStyle w:val="Compact"/>
            </w:pPr>
            <w:r>
              <w:t>Extendible Mark-up Language</w:t>
            </w:r>
          </w:p>
        </w:tc>
      </w:tr>
      <w:tr w:rsidR="00066EC8" w14:paraId="1BFBBC5E" w14:textId="77777777">
        <w:tc>
          <w:tcPr>
            <w:tcW w:w="0" w:type="auto"/>
          </w:tcPr>
          <w:p w14:paraId="71E1C734" w14:textId="77777777" w:rsidR="00066EC8" w:rsidRDefault="00000000">
            <w:pPr>
              <w:pStyle w:val="Compact"/>
            </w:pPr>
            <w:r>
              <w:rPr>
                <w:b/>
                <w:bCs/>
                <w:i/>
                <w:iCs/>
              </w:rPr>
              <w:t>XSD</w:t>
            </w:r>
          </w:p>
        </w:tc>
        <w:tc>
          <w:tcPr>
            <w:tcW w:w="0" w:type="auto"/>
          </w:tcPr>
          <w:p w14:paraId="7DA41D0F" w14:textId="77777777" w:rsidR="00066EC8" w:rsidRDefault="00000000">
            <w:pPr>
              <w:pStyle w:val="Compact"/>
            </w:pPr>
            <w:r>
              <w:t>XML Schema Definition</w:t>
            </w:r>
          </w:p>
        </w:tc>
      </w:tr>
    </w:tbl>
    <w:p w14:paraId="237615A0" w14:textId="77777777" w:rsidR="00066EC8" w:rsidRDefault="00000000">
      <w:pPr>
        <w:pStyle w:val="TableCaption"/>
      </w:pPr>
      <w:bookmarkStart w:id="145" w:name="tbl:terminology"/>
      <w:bookmarkStart w:id="146" w:name="_Toc225158454"/>
      <w:bookmarkEnd w:id="139"/>
      <w:r>
        <w:t>List of Terms</w:t>
      </w:r>
      <w:bookmarkEnd w:id="146"/>
    </w:p>
    <w:tbl>
      <w:tblPr>
        <w:tblStyle w:val="Table"/>
        <w:tblW w:w="5000" w:type="pct"/>
        <w:tblLayout w:type="fixed"/>
        <w:tblLook w:val="0020" w:firstRow="1" w:lastRow="0" w:firstColumn="0" w:lastColumn="0" w:noHBand="0" w:noVBand="0"/>
        <w:tblCaption w:val="List of Terms"/>
      </w:tblPr>
      <w:tblGrid>
        <w:gridCol w:w="5097"/>
        <w:gridCol w:w="5098"/>
      </w:tblGrid>
      <w:tr w:rsidR="00066EC8" w14:paraId="1B40A7BA"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04286CCD" w14:textId="77777777" w:rsidR="00066EC8" w:rsidRDefault="00000000">
            <w:pPr>
              <w:pStyle w:val="Compact"/>
            </w:pPr>
            <w:r>
              <w:t>Term</w:t>
            </w:r>
          </w:p>
        </w:tc>
        <w:tc>
          <w:tcPr>
            <w:tcW w:w="3960" w:type="dxa"/>
          </w:tcPr>
          <w:p w14:paraId="1DE2A780" w14:textId="77777777" w:rsidR="00066EC8" w:rsidRDefault="00000000">
            <w:pPr>
              <w:pStyle w:val="Compact"/>
            </w:pPr>
            <w:r>
              <w:t>Definition</w:t>
            </w:r>
          </w:p>
        </w:tc>
      </w:tr>
      <w:tr w:rsidR="00066EC8" w14:paraId="500D24DF" w14:textId="77777777">
        <w:tc>
          <w:tcPr>
            <w:tcW w:w="3960" w:type="dxa"/>
          </w:tcPr>
          <w:p w14:paraId="1A6F5653" w14:textId="77777777" w:rsidR="00066EC8" w:rsidRDefault="00000000">
            <w:pPr>
              <w:pStyle w:val="Compact"/>
            </w:pPr>
            <w:r>
              <w:rPr>
                <w:b/>
                <w:bCs/>
                <w:i/>
                <w:iCs/>
              </w:rPr>
              <w:t>External Data Model</w:t>
            </w:r>
          </w:p>
        </w:tc>
        <w:tc>
          <w:tcPr>
            <w:tcW w:w="3960" w:type="dxa"/>
          </w:tcPr>
          <w:p w14:paraId="3C4F7A21" w14:textId="77777777" w:rsidR="00066EC8" w:rsidRDefault="00000000">
            <w:pPr>
              <w:pStyle w:val="Compact"/>
            </w:pPr>
            <w:r>
              <w:t>Describes the semantics of the “maritime world” (or a significant part thereof) by defining data structures and their relations. This could be at logical level (e.g., in UML) or at physical level (e.g., in XSD schema definitions), as for example standard data models, or S-100 based data produce specifications.</w:t>
            </w:r>
          </w:p>
        </w:tc>
      </w:tr>
      <w:tr w:rsidR="00066EC8" w14:paraId="617DE3CD" w14:textId="77777777">
        <w:tc>
          <w:tcPr>
            <w:tcW w:w="3960" w:type="dxa"/>
          </w:tcPr>
          <w:p w14:paraId="234C5388" w14:textId="77777777" w:rsidR="00066EC8" w:rsidRDefault="00000000">
            <w:pPr>
              <w:pStyle w:val="Compact"/>
            </w:pPr>
            <w:r>
              <w:rPr>
                <w:b/>
                <w:bCs/>
                <w:i/>
                <w:iCs/>
              </w:rPr>
              <w:t>Message Exchange Pattern</w:t>
            </w:r>
          </w:p>
        </w:tc>
        <w:tc>
          <w:tcPr>
            <w:tcW w:w="3960" w:type="dxa"/>
          </w:tcPr>
          <w:p w14:paraId="422D5E0D" w14:textId="77777777" w:rsidR="00066EC8" w:rsidRDefault="00000000">
            <w:pPr>
              <w:pStyle w:val="Compact"/>
            </w:pPr>
            <w:r>
              <w:t>Describes the principles how two different parts of a message passing system (in our case: the service provider and the service consumer) interact and communicate with each other. Examples: 1) In the Request/Response MEP, the service consumer sends a request to the service provider in order to obtain certain information; the service provider provides the requested information in a dedicated response. 2) In the Publish/Subscribe MEP, the service consumer establishes a subscription with the service provider in order to obtain certain information; the service provider publishes information (either in regular intervals or upon change) to all subscribed service consumers.</w:t>
            </w:r>
          </w:p>
        </w:tc>
      </w:tr>
      <w:tr w:rsidR="00066EC8" w14:paraId="4619C078" w14:textId="77777777">
        <w:tc>
          <w:tcPr>
            <w:tcW w:w="3960" w:type="dxa"/>
          </w:tcPr>
          <w:p w14:paraId="35990976" w14:textId="77777777" w:rsidR="00066EC8" w:rsidRDefault="00000000">
            <w:pPr>
              <w:pStyle w:val="Compact"/>
            </w:pPr>
            <w:r>
              <w:rPr>
                <w:b/>
                <w:bCs/>
                <w:i/>
                <w:iCs/>
              </w:rPr>
              <w:t>Operational Activity</w:t>
            </w:r>
          </w:p>
        </w:tc>
        <w:tc>
          <w:tcPr>
            <w:tcW w:w="3960" w:type="dxa"/>
          </w:tcPr>
          <w:p w14:paraId="4B0CD37A" w14:textId="77777777" w:rsidR="00066EC8" w:rsidRDefault="00000000">
            <w:pPr>
              <w:pStyle w:val="Compact"/>
            </w:pPr>
            <w:r>
              <w:t>An activity performed by an operational node. Examples of operational activities in the maritime context are: Route Planning, Route Optimization, Logistics, Safety, Weather Forecast Provision, …</w:t>
            </w:r>
          </w:p>
        </w:tc>
      </w:tr>
      <w:tr w:rsidR="00066EC8" w14:paraId="140CD9E2" w14:textId="77777777">
        <w:tc>
          <w:tcPr>
            <w:tcW w:w="3960" w:type="dxa"/>
          </w:tcPr>
          <w:p w14:paraId="64F98A91" w14:textId="77777777" w:rsidR="00066EC8" w:rsidRDefault="00000000">
            <w:pPr>
              <w:pStyle w:val="Compact"/>
            </w:pPr>
            <w:r>
              <w:rPr>
                <w:b/>
                <w:bCs/>
                <w:i/>
                <w:iCs/>
              </w:rPr>
              <w:lastRenderedPageBreak/>
              <w:t>Operational Model</w:t>
            </w:r>
          </w:p>
        </w:tc>
        <w:tc>
          <w:tcPr>
            <w:tcW w:w="3960" w:type="dxa"/>
          </w:tcPr>
          <w:p w14:paraId="5445C7BF" w14:textId="77777777" w:rsidR="00066EC8" w:rsidRDefault="00000000">
            <w:pPr>
              <w:pStyle w:val="Compact"/>
            </w:pPr>
            <w:r>
              <w:t>A structure of operational nodes and associated operational activities and their inter-relations in a process model.</w:t>
            </w:r>
          </w:p>
        </w:tc>
      </w:tr>
      <w:tr w:rsidR="00066EC8" w14:paraId="60AEEB55" w14:textId="77777777">
        <w:tc>
          <w:tcPr>
            <w:tcW w:w="3960" w:type="dxa"/>
          </w:tcPr>
          <w:p w14:paraId="4C0F715E" w14:textId="77777777" w:rsidR="00066EC8" w:rsidRDefault="00000000">
            <w:pPr>
              <w:pStyle w:val="Compact"/>
            </w:pPr>
            <w:r>
              <w:rPr>
                <w:b/>
                <w:bCs/>
                <w:i/>
                <w:iCs/>
              </w:rPr>
              <w:t>Operational Node</w:t>
            </w:r>
          </w:p>
        </w:tc>
        <w:tc>
          <w:tcPr>
            <w:tcW w:w="3960" w:type="dxa"/>
          </w:tcPr>
          <w:p w14:paraId="077CFAD1" w14:textId="77777777" w:rsidR="00066EC8" w:rsidRDefault="00000000">
            <w:pPr>
              <w:pStyle w:val="Compact"/>
            </w:pPr>
            <w:r>
              <w:t>A logical entity that performs activities. Note: nodes are specified independently of any physical realisation. Examples of operational nodes in the maritime context are: Maritime Control Center, Maritime Authority, Ship, Port, Weather Information Provider, …</w:t>
            </w:r>
          </w:p>
        </w:tc>
      </w:tr>
      <w:tr w:rsidR="00066EC8" w14:paraId="1D103E8D" w14:textId="77777777">
        <w:tc>
          <w:tcPr>
            <w:tcW w:w="3960" w:type="dxa"/>
          </w:tcPr>
          <w:p w14:paraId="3186F9B1" w14:textId="77777777" w:rsidR="00066EC8" w:rsidRDefault="00000000">
            <w:pPr>
              <w:pStyle w:val="Compact"/>
            </w:pPr>
            <w:r>
              <w:rPr>
                <w:b/>
                <w:bCs/>
                <w:i/>
                <w:iCs/>
              </w:rPr>
              <w:t>Service</w:t>
            </w:r>
          </w:p>
        </w:tc>
        <w:tc>
          <w:tcPr>
            <w:tcW w:w="3960" w:type="dxa"/>
          </w:tcPr>
          <w:p w14:paraId="2225BEAA" w14:textId="77777777" w:rsidR="00066EC8" w:rsidRDefault="00000000">
            <w:pPr>
              <w:pStyle w:val="Compact"/>
            </w:pPr>
            <w:r>
              <w:t>The provision of something (a non-physical object), by one, for the use of one or more others, regulated by formal definitions and mutual agreements. Services involve interactions between providers and consumers, which may be performed in a digital form (data exchanges) or through voice communication or written processes and procedures.</w:t>
            </w:r>
          </w:p>
        </w:tc>
      </w:tr>
      <w:tr w:rsidR="00066EC8" w14:paraId="0BFC6A65" w14:textId="77777777">
        <w:tc>
          <w:tcPr>
            <w:tcW w:w="3960" w:type="dxa"/>
          </w:tcPr>
          <w:p w14:paraId="133C62F2" w14:textId="77777777" w:rsidR="00066EC8" w:rsidRDefault="00000000">
            <w:pPr>
              <w:pStyle w:val="Compact"/>
            </w:pPr>
            <w:r>
              <w:rPr>
                <w:b/>
                <w:bCs/>
                <w:i/>
                <w:iCs/>
              </w:rPr>
              <w:t>Service Consumer</w:t>
            </w:r>
          </w:p>
        </w:tc>
        <w:tc>
          <w:tcPr>
            <w:tcW w:w="3960" w:type="dxa"/>
          </w:tcPr>
          <w:p w14:paraId="0EAC887A" w14:textId="77777777" w:rsidR="00066EC8" w:rsidRDefault="00000000">
            <w:pPr>
              <w:pStyle w:val="Compact"/>
            </w:pPr>
            <w:r>
              <w:t>A service consumer uses service instances provided by service providers. All users within the maritime domain can be service customers, e.g., ships and their crew, authorities, VTS stations, organizations (e.g., meteorological), commercial service providers, etc.</w:t>
            </w:r>
          </w:p>
        </w:tc>
      </w:tr>
      <w:tr w:rsidR="00066EC8" w14:paraId="33722081" w14:textId="77777777">
        <w:tc>
          <w:tcPr>
            <w:tcW w:w="3960" w:type="dxa"/>
          </w:tcPr>
          <w:p w14:paraId="6D8A4F66" w14:textId="77777777" w:rsidR="00066EC8" w:rsidRDefault="00000000">
            <w:pPr>
              <w:pStyle w:val="Compact"/>
            </w:pPr>
            <w:r>
              <w:rPr>
                <w:b/>
                <w:bCs/>
                <w:i/>
                <w:iCs/>
              </w:rPr>
              <w:t>Service Data Model</w:t>
            </w:r>
          </w:p>
        </w:tc>
        <w:tc>
          <w:tcPr>
            <w:tcW w:w="3960" w:type="dxa"/>
          </w:tcPr>
          <w:p w14:paraId="6E14EA6C" w14:textId="77777777" w:rsidR="00066EC8" w:rsidRDefault="00000000">
            <w:pPr>
              <w:pStyle w:val="Compact"/>
            </w:pPr>
            <w:r>
              <w:t>Formal description of one dedicated service at logical level. The service data model is part of the service specification. Is typically defined in UML and/or XSD. If an external data model exists (e.g., a standard data model), then the service data model shall refer to it: each data item of the service data model shall be mapped to a data item defined in the external data model.</w:t>
            </w:r>
          </w:p>
        </w:tc>
      </w:tr>
      <w:tr w:rsidR="00066EC8" w14:paraId="123F4EDB" w14:textId="77777777">
        <w:tc>
          <w:tcPr>
            <w:tcW w:w="3960" w:type="dxa"/>
          </w:tcPr>
          <w:p w14:paraId="3C55C4AA" w14:textId="77777777" w:rsidR="00066EC8" w:rsidRDefault="00000000">
            <w:pPr>
              <w:pStyle w:val="Compact"/>
            </w:pPr>
            <w:r>
              <w:rPr>
                <w:b/>
                <w:bCs/>
                <w:i/>
                <w:iCs/>
              </w:rPr>
              <w:t>Service Design Description</w:t>
            </w:r>
          </w:p>
        </w:tc>
        <w:tc>
          <w:tcPr>
            <w:tcW w:w="3960" w:type="dxa"/>
          </w:tcPr>
          <w:p w14:paraId="41667264" w14:textId="77777777" w:rsidR="00066EC8" w:rsidRDefault="00000000">
            <w:pPr>
              <w:pStyle w:val="Compact"/>
            </w:pPr>
            <w:r>
              <w:t>Documents the details of a service technical design (most likely documented by the service implementer). The service design description includes (but is not limited to) a service physical data model and describes the used technology, transport mechanism, quality of service, etc.</w:t>
            </w:r>
          </w:p>
        </w:tc>
      </w:tr>
      <w:tr w:rsidR="00066EC8" w14:paraId="09697C30" w14:textId="77777777">
        <w:tc>
          <w:tcPr>
            <w:tcW w:w="3960" w:type="dxa"/>
          </w:tcPr>
          <w:p w14:paraId="21C0E9F2" w14:textId="77777777" w:rsidR="00066EC8" w:rsidRDefault="00000000">
            <w:pPr>
              <w:pStyle w:val="Compact"/>
            </w:pPr>
            <w:r>
              <w:rPr>
                <w:b/>
                <w:bCs/>
                <w:i/>
                <w:iCs/>
              </w:rPr>
              <w:t>Service Implementation</w:t>
            </w:r>
          </w:p>
        </w:tc>
        <w:tc>
          <w:tcPr>
            <w:tcW w:w="3960" w:type="dxa"/>
          </w:tcPr>
          <w:p w14:paraId="00DBC036" w14:textId="77777777" w:rsidR="00066EC8" w:rsidRDefault="00000000">
            <w:pPr>
              <w:pStyle w:val="Compact"/>
            </w:pPr>
            <w:r>
              <w:t>The provider side implementation of a dedicated service technical design (i.e., implementation of a dedicated service in a dedicated technology).</w:t>
            </w:r>
          </w:p>
        </w:tc>
      </w:tr>
      <w:tr w:rsidR="00066EC8" w14:paraId="301696DE" w14:textId="77777777">
        <w:tc>
          <w:tcPr>
            <w:tcW w:w="3960" w:type="dxa"/>
          </w:tcPr>
          <w:p w14:paraId="2ECDE321" w14:textId="77777777" w:rsidR="00066EC8" w:rsidRDefault="00000000">
            <w:pPr>
              <w:pStyle w:val="Compact"/>
            </w:pPr>
            <w:r>
              <w:rPr>
                <w:b/>
                <w:bCs/>
                <w:i/>
                <w:iCs/>
              </w:rPr>
              <w:t>Service Implementer</w:t>
            </w:r>
          </w:p>
        </w:tc>
        <w:tc>
          <w:tcPr>
            <w:tcW w:w="3960" w:type="dxa"/>
          </w:tcPr>
          <w:p w14:paraId="2B8F35FB" w14:textId="77777777" w:rsidR="00066EC8" w:rsidRDefault="00000000">
            <w:pPr>
              <w:pStyle w:val="Compact"/>
            </w:pPr>
            <w:r>
              <w:t>Implementers of services from the service provider side and/or the service consumer side. Anybody can be a service implementer but mainly this will be commercial companies implementing solutions for shore and ship.</w:t>
            </w:r>
          </w:p>
        </w:tc>
      </w:tr>
      <w:tr w:rsidR="00066EC8" w14:paraId="07ECE21C" w14:textId="77777777">
        <w:tc>
          <w:tcPr>
            <w:tcW w:w="3960" w:type="dxa"/>
          </w:tcPr>
          <w:p w14:paraId="6DA69913" w14:textId="77777777" w:rsidR="00066EC8" w:rsidRDefault="00000000">
            <w:pPr>
              <w:pStyle w:val="Compact"/>
            </w:pPr>
            <w:r>
              <w:rPr>
                <w:b/>
                <w:bCs/>
                <w:i/>
                <w:iCs/>
              </w:rPr>
              <w:t>Service Instance</w:t>
            </w:r>
          </w:p>
        </w:tc>
        <w:tc>
          <w:tcPr>
            <w:tcW w:w="3960" w:type="dxa"/>
          </w:tcPr>
          <w:p w14:paraId="2B4B6EF8" w14:textId="77777777" w:rsidR="00066EC8" w:rsidRDefault="00000000">
            <w:pPr>
              <w:pStyle w:val="Compact"/>
            </w:pPr>
            <w:r>
              <w:t>One service implementation may be deployed at several places by same or different service providers; each such deployment represents a different service instance, being accessible via different URLs.</w:t>
            </w:r>
          </w:p>
        </w:tc>
      </w:tr>
      <w:tr w:rsidR="00066EC8" w14:paraId="3C4234CA" w14:textId="77777777">
        <w:tc>
          <w:tcPr>
            <w:tcW w:w="3960" w:type="dxa"/>
          </w:tcPr>
          <w:p w14:paraId="25AB00A0" w14:textId="77777777" w:rsidR="00066EC8" w:rsidRDefault="00000000">
            <w:pPr>
              <w:pStyle w:val="Compact"/>
            </w:pPr>
            <w:r>
              <w:rPr>
                <w:b/>
                <w:bCs/>
                <w:i/>
                <w:iCs/>
              </w:rPr>
              <w:t>Service Instance Description</w:t>
            </w:r>
          </w:p>
        </w:tc>
        <w:tc>
          <w:tcPr>
            <w:tcW w:w="3960" w:type="dxa"/>
          </w:tcPr>
          <w:p w14:paraId="2C43B34C" w14:textId="77777777" w:rsidR="00066EC8" w:rsidRDefault="00000000">
            <w:pPr>
              <w:pStyle w:val="Compact"/>
            </w:pPr>
            <w:r>
              <w:t>Documents the details of a service implementation (most likely documented by the service implementer) and deployment (most likely documented by the service provider). The service instance description includes (but is not limited to) service technical design reference, service provider reference, service access information, service coverage information, etc.</w:t>
            </w:r>
          </w:p>
        </w:tc>
      </w:tr>
      <w:tr w:rsidR="00066EC8" w14:paraId="666DEF77" w14:textId="77777777">
        <w:tc>
          <w:tcPr>
            <w:tcW w:w="3960" w:type="dxa"/>
          </w:tcPr>
          <w:p w14:paraId="52EFFC7A" w14:textId="77777777" w:rsidR="00066EC8" w:rsidRDefault="00000000">
            <w:pPr>
              <w:pStyle w:val="Compact"/>
            </w:pPr>
            <w:r>
              <w:rPr>
                <w:b/>
                <w:bCs/>
                <w:i/>
                <w:iCs/>
              </w:rPr>
              <w:t>Service Interface</w:t>
            </w:r>
          </w:p>
        </w:tc>
        <w:tc>
          <w:tcPr>
            <w:tcW w:w="3960" w:type="dxa"/>
          </w:tcPr>
          <w:p w14:paraId="5BB5BF04" w14:textId="77777777" w:rsidR="00066EC8" w:rsidRDefault="00000000">
            <w:pPr>
              <w:pStyle w:val="Compact"/>
            </w:pPr>
            <w:r>
              <w:t xml:space="preserve">The communication mechanism of the service, i.e., interaction mechanism between service provider and service consumer. A service interface is characterised by a message exchange pattern and consists of service </w:t>
            </w:r>
            <w:r>
              <w:lastRenderedPageBreak/>
              <w:t>operations that are either allocated to the provider or the consumer of the service.</w:t>
            </w:r>
          </w:p>
        </w:tc>
      </w:tr>
      <w:tr w:rsidR="00066EC8" w14:paraId="1DB74732" w14:textId="77777777">
        <w:tc>
          <w:tcPr>
            <w:tcW w:w="3960" w:type="dxa"/>
          </w:tcPr>
          <w:p w14:paraId="2288A177" w14:textId="77777777" w:rsidR="00066EC8" w:rsidRDefault="00000000">
            <w:pPr>
              <w:pStyle w:val="Compact"/>
            </w:pPr>
            <w:r>
              <w:rPr>
                <w:b/>
                <w:bCs/>
                <w:i/>
                <w:iCs/>
              </w:rPr>
              <w:lastRenderedPageBreak/>
              <w:t>Service Operation</w:t>
            </w:r>
          </w:p>
        </w:tc>
        <w:tc>
          <w:tcPr>
            <w:tcW w:w="3960" w:type="dxa"/>
          </w:tcPr>
          <w:p w14:paraId="6EA72805" w14:textId="77777777" w:rsidR="00066EC8" w:rsidRDefault="00000000">
            <w:pPr>
              <w:pStyle w:val="Compact"/>
            </w:pPr>
            <w:r>
              <w:t>Functions or procedure which enables programmatic communication with a service via a service interface.</w:t>
            </w:r>
          </w:p>
        </w:tc>
      </w:tr>
      <w:tr w:rsidR="00066EC8" w14:paraId="0EDD1978" w14:textId="77777777">
        <w:tc>
          <w:tcPr>
            <w:tcW w:w="3960" w:type="dxa"/>
          </w:tcPr>
          <w:p w14:paraId="1B331AEA" w14:textId="77777777" w:rsidR="00066EC8" w:rsidRDefault="00000000">
            <w:pPr>
              <w:pStyle w:val="Compact"/>
            </w:pPr>
            <w:r>
              <w:rPr>
                <w:b/>
                <w:bCs/>
                <w:i/>
                <w:iCs/>
              </w:rPr>
              <w:t>Service Physical Data Model</w:t>
            </w:r>
          </w:p>
        </w:tc>
        <w:tc>
          <w:tcPr>
            <w:tcW w:w="3960" w:type="dxa"/>
          </w:tcPr>
          <w:p w14:paraId="129C3D01" w14:textId="77777777" w:rsidR="00066EC8" w:rsidRDefault="00000000">
            <w:pPr>
              <w:pStyle w:val="Compact"/>
            </w:pPr>
            <w:r>
              <w:t>Describes the realisation of a dedicated service data model in a dedicated technology. This includes a detailed description of the data S-124 to be exchanged using the chosen technology. The actual format of the service physical data model depends on the chosen technology. Examples may be WSDL and XSD files (e.g., for SOAP services) or swagger (Open API) specifications (e.g., for REST services). If an external data model exists (e.g., a standard data model), then the service physical data model shall refer to it: each data item of the service physical data model shall be mapped to a data item defined in the external data model. In order to prove correct implementation of the service specification, there shall exist a mapping between the service physical data model and the service data model. This means, each data item used in the service physical data model shall be mapped to a corresponding data item of the service data model. (In case of existing mappings to a common external (standard) data model from both the service data model and the service physical data model, such a mapping is implicitly given.)</w:t>
            </w:r>
          </w:p>
        </w:tc>
      </w:tr>
      <w:tr w:rsidR="00066EC8" w14:paraId="19F1DF0A" w14:textId="77777777">
        <w:tc>
          <w:tcPr>
            <w:tcW w:w="3960" w:type="dxa"/>
          </w:tcPr>
          <w:p w14:paraId="5326DCB8" w14:textId="77777777" w:rsidR="00066EC8" w:rsidRDefault="00000000">
            <w:pPr>
              <w:pStyle w:val="Compact"/>
            </w:pPr>
            <w:r>
              <w:rPr>
                <w:b/>
                <w:bCs/>
                <w:i/>
                <w:iCs/>
              </w:rPr>
              <w:t>Service Provider</w:t>
            </w:r>
          </w:p>
        </w:tc>
        <w:tc>
          <w:tcPr>
            <w:tcW w:w="3960" w:type="dxa"/>
          </w:tcPr>
          <w:p w14:paraId="14EE6DAA" w14:textId="77777777" w:rsidR="00066EC8" w:rsidRDefault="00000000">
            <w:pPr>
              <w:pStyle w:val="Compact"/>
            </w:pPr>
            <w:r>
              <w:t>A service provider provides instances of services according to a service specification and service instance description. All users within the maritime domain can be service providers, e.g., authorities, VTS stations, organizations (e.g., meteorological), commercial service providers, etc.</w:t>
            </w:r>
          </w:p>
        </w:tc>
      </w:tr>
      <w:tr w:rsidR="00066EC8" w14:paraId="31E4ADE4" w14:textId="77777777">
        <w:tc>
          <w:tcPr>
            <w:tcW w:w="3960" w:type="dxa"/>
          </w:tcPr>
          <w:p w14:paraId="6F0632A9" w14:textId="77777777" w:rsidR="00066EC8" w:rsidRDefault="00000000">
            <w:pPr>
              <w:pStyle w:val="Compact"/>
            </w:pPr>
            <w:r>
              <w:rPr>
                <w:b/>
                <w:bCs/>
                <w:i/>
                <w:iCs/>
              </w:rPr>
              <w:t>Service Specification</w:t>
            </w:r>
          </w:p>
        </w:tc>
        <w:tc>
          <w:tcPr>
            <w:tcW w:w="3960" w:type="dxa"/>
          </w:tcPr>
          <w:p w14:paraId="5BD267CB" w14:textId="77777777" w:rsidR="00066EC8" w:rsidRDefault="00000000">
            <w:pPr>
              <w:pStyle w:val="Compact"/>
            </w:pPr>
            <w:r>
              <w:t>Describes one dedicated service at logical level. The Service Specification is technology-agnostic. The Service Specification includes (but is not limited to) a description of the Service Interfaces and Service Operations with their data S-124. The data S-124 description may be formally defined by a Service Data Model.</w:t>
            </w:r>
          </w:p>
        </w:tc>
      </w:tr>
      <w:tr w:rsidR="00066EC8" w14:paraId="1680973C" w14:textId="77777777">
        <w:tc>
          <w:tcPr>
            <w:tcW w:w="3960" w:type="dxa"/>
          </w:tcPr>
          <w:p w14:paraId="2CEFC0D2" w14:textId="77777777" w:rsidR="00066EC8" w:rsidRDefault="00000000">
            <w:pPr>
              <w:pStyle w:val="Compact"/>
            </w:pPr>
            <w:r>
              <w:rPr>
                <w:b/>
                <w:bCs/>
                <w:i/>
                <w:iCs/>
              </w:rPr>
              <w:t>Service Specification Producer</w:t>
            </w:r>
          </w:p>
        </w:tc>
        <w:tc>
          <w:tcPr>
            <w:tcW w:w="3960" w:type="dxa"/>
          </w:tcPr>
          <w:p w14:paraId="04C50C96" w14:textId="77777777" w:rsidR="00066EC8" w:rsidRDefault="00000000">
            <w:pPr>
              <w:pStyle w:val="Compact"/>
            </w:pPr>
            <w:r>
              <w:t>Producers of service specifications in accordance with the service documentation guidelines.</w:t>
            </w:r>
          </w:p>
        </w:tc>
      </w:tr>
      <w:tr w:rsidR="00066EC8" w14:paraId="51A52155" w14:textId="77777777">
        <w:tc>
          <w:tcPr>
            <w:tcW w:w="3960" w:type="dxa"/>
          </w:tcPr>
          <w:p w14:paraId="5E3689E0" w14:textId="77777777" w:rsidR="00066EC8" w:rsidRDefault="00000000">
            <w:pPr>
              <w:pStyle w:val="Compact"/>
            </w:pPr>
            <w:r>
              <w:rPr>
                <w:b/>
                <w:bCs/>
                <w:i/>
                <w:iCs/>
              </w:rPr>
              <w:t>Service Technical Design</w:t>
            </w:r>
          </w:p>
        </w:tc>
        <w:tc>
          <w:tcPr>
            <w:tcW w:w="3960" w:type="dxa"/>
          </w:tcPr>
          <w:p w14:paraId="6D542F3D" w14:textId="77777777" w:rsidR="00066EC8" w:rsidRDefault="00000000">
            <w:pPr>
              <w:pStyle w:val="Compact"/>
            </w:pPr>
            <w:r>
              <w:t>The technical design of a dedicated service in a dedicated technology. One service specification may result in several technical service designs, realising the service with different or same technologies.</w:t>
            </w:r>
          </w:p>
        </w:tc>
      </w:tr>
      <w:tr w:rsidR="00066EC8" w14:paraId="23F146B2" w14:textId="77777777">
        <w:tc>
          <w:tcPr>
            <w:tcW w:w="3960" w:type="dxa"/>
          </w:tcPr>
          <w:p w14:paraId="46FCA28E" w14:textId="77777777" w:rsidR="00066EC8" w:rsidRDefault="00000000">
            <w:pPr>
              <w:pStyle w:val="Compact"/>
            </w:pPr>
            <w:r>
              <w:rPr>
                <w:b/>
                <w:bCs/>
                <w:i/>
                <w:iCs/>
              </w:rPr>
              <w:t>Service Technology Catalogue</w:t>
            </w:r>
          </w:p>
        </w:tc>
        <w:tc>
          <w:tcPr>
            <w:tcW w:w="3960" w:type="dxa"/>
          </w:tcPr>
          <w:p w14:paraId="64F4F1E8" w14:textId="77777777" w:rsidR="00066EC8" w:rsidRDefault="00000000">
            <w:pPr>
              <w:pStyle w:val="Compact"/>
            </w:pPr>
            <w:r>
              <w:t>List and specifications of allowed technologies for service implementations. Currently, SOAP and REST are envisaged to be allowed service technologies. The service technology catalogue shall describe in detail the allowed service profiles, e.g., by listing communication standards, security standards, stacks, bindings, etc.</w:t>
            </w:r>
          </w:p>
        </w:tc>
      </w:tr>
      <w:tr w:rsidR="00066EC8" w14:paraId="2FD395E6" w14:textId="77777777">
        <w:tc>
          <w:tcPr>
            <w:tcW w:w="3960" w:type="dxa"/>
          </w:tcPr>
          <w:p w14:paraId="7A31E657" w14:textId="77777777" w:rsidR="00066EC8" w:rsidRDefault="00000000">
            <w:pPr>
              <w:pStyle w:val="Compact"/>
            </w:pPr>
            <w:r>
              <w:rPr>
                <w:b/>
                <w:bCs/>
                <w:i/>
                <w:iCs/>
              </w:rPr>
              <w:t>Spatial Exclusiveness</w:t>
            </w:r>
          </w:p>
        </w:tc>
        <w:tc>
          <w:tcPr>
            <w:tcW w:w="3960" w:type="dxa"/>
          </w:tcPr>
          <w:p w14:paraId="675E82FA" w14:textId="77777777" w:rsidR="00066EC8" w:rsidRDefault="00000000">
            <w:pPr>
              <w:pStyle w:val="Compact"/>
            </w:pPr>
            <w:r>
              <w:t xml:space="preserve">A service specification is characterised as “spatially exclusive”, if in any geographical region just one service instance of that specification is allowed to be registered per technology. The decision, which service instance (out of a number of available spatially exclusive services) shall be </w:t>
            </w:r>
            <w:r>
              <w:lastRenderedPageBreak/>
              <w:t>registered for a certain geographical region, is a governance issue.</w:t>
            </w:r>
          </w:p>
        </w:tc>
      </w:tr>
      <w:bookmarkEnd w:id="141"/>
      <w:bookmarkEnd w:id="143"/>
      <w:bookmarkEnd w:id="145"/>
    </w:tbl>
    <w:p w14:paraId="632A73AA" w14:textId="77777777" w:rsidR="005D480D" w:rsidRDefault="005D480D"/>
    <w:sectPr w:rsidR="005D480D">
      <w:headerReference w:type="even" r:id="rId45"/>
      <w:headerReference w:type="default" r:id="rId46"/>
      <w:footerReference w:type="even" r:id="rId47"/>
      <w:headerReference w:type="first" r:id="rId48"/>
      <w:footerReference w:type="first" r:id="rId49"/>
      <w:pgSz w:w="11906" w:h="16838"/>
      <w:pgMar w:top="567" w:right="794" w:bottom="567" w:left="907" w:header="567" w:footer="85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21EFFA" w14:textId="77777777" w:rsidR="005D480D" w:rsidRDefault="005D480D">
      <w:r>
        <w:separator/>
      </w:r>
    </w:p>
    <w:p w14:paraId="50002203" w14:textId="77777777" w:rsidR="005D480D" w:rsidRDefault="005D480D"/>
    <w:p w14:paraId="30259EEA" w14:textId="77777777" w:rsidR="005D480D" w:rsidRDefault="005D480D"/>
  </w:endnote>
  <w:endnote w:type="continuationSeparator" w:id="0">
    <w:p w14:paraId="09C61172" w14:textId="77777777" w:rsidR="005D480D" w:rsidRDefault="005D480D">
      <w:r>
        <w:continuationSeparator/>
      </w:r>
    </w:p>
    <w:p w14:paraId="0E97E88E" w14:textId="77777777" w:rsidR="005D480D" w:rsidRDefault="005D480D"/>
    <w:p w14:paraId="74C15484" w14:textId="77777777" w:rsidR="005D480D" w:rsidRDefault="005D480D"/>
  </w:endnote>
  <w:endnote w:type="continuationNotice" w:id="1">
    <w:p w14:paraId="671B6509" w14:textId="77777777" w:rsidR="005D480D" w:rsidRDefault="005D480D">
      <w:pPr>
        <w:spacing w:after="0" w:line="240" w:lineRule="auto"/>
      </w:pPr>
    </w:p>
    <w:p w14:paraId="20FFEA08" w14:textId="77777777" w:rsidR="005D480D" w:rsidRDefault="005D48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charset w:val="00"/>
    <w:family w:val="auto"/>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auto"/>
    <w:pitch w:val="default"/>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D7A76" w14:textId="77777777" w:rsidR="00066EC8" w:rsidRDefault="00000000">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ABFE113" w14:textId="77777777" w:rsidR="00066EC8" w:rsidRDefault="000000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E2A786F" w14:textId="77777777" w:rsidR="00066EC8" w:rsidRDefault="000000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E5B0EB1" w14:textId="77777777" w:rsidR="00066EC8" w:rsidRDefault="000000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64F8A60" w14:textId="77777777" w:rsidR="00066EC8" w:rsidRDefault="00066EC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3717E" w14:textId="77777777" w:rsidR="00066EC8" w:rsidRDefault="00000000">
    <w:pPr>
      <w:pStyle w:val="Footer"/>
    </w:pPr>
    <w:r>
      <w:rPr>
        <w:rFonts w:ascii="Calibri" w:hAnsi="Calibri" w:cs="Calibri"/>
        <w:noProof/>
        <w:color w:val="000000"/>
        <w:sz w:val="22"/>
        <w:lang w:eastAsia="en-GB"/>
      </w:rPr>
      <mc:AlternateContent>
        <mc:Choice Requires="wpg">
          <w:drawing>
            <wp:anchor distT="0" distB="0" distL="114300" distR="114300" simplePos="0" relativeHeight="251740160" behindDoc="0" locked="0" layoutInCell="1" allowOverlap="1" wp14:anchorId="3CC3AE1B" wp14:editId="39FB1F65">
              <wp:simplePos x="0" y="0"/>
              <wp:positionH relativeFrom="column">
                <wp:posOffset>-398145</wp:posOffset>
              </wp:positionH>
              <wp:positionV relativeFrom="paragraph">
                <wp:posOffset>-149225</wp:posOffset>
              </wp:positionV>
              <wp:extent cx="3620135" cy="822960"/>
              <wp:effectExtent l="0" t="0" r="0" b="0"/>
              <wp:wrapSquare wrapText="bothSides"/>
              <wp:docPr id="30" name="Picture 4" descr="A close-up of a contact 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 descr="A close-up of a contact us&#10;&#10;Description automatically generated"/>
                      <pic:cNvPicPr>
                        <a:picLocks noChangeAspect="1"/>
                      </pic:cNvPicPr>
                    </pic:nvPicPr>
                    <pic:blipFill rotWithShape="1">
                      <a:blip r:embed="rId1"/>
                      <a:stretch/>
                    </pic:blipFill>
                    <pic:spPr bwMode="auto">
                      <a:xfrm>
                        <a:off x="0" y="0"/>
                        <a:ext cx="3620135" cy="82296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740160;o:allowoverlap:true;o:allowincell:true;mso-position-horizontal-relative:text;margin-left:-31.35pt;mso-position-horizontal:absolute;mso-position-vertical-relative:text;margin-top:-11.75pt;mso-position-vertical:absolute;width:285.05pt;height:64.80pt;mso-wrap-distance-left:9.00pt;mso-wrap-distance-top:0.00pt;mso-wrap-distance-right:9.00pt;mso-wrap-distance-bottom:0.00pt;z-index:1;" stroked="f">
              <w10:wrap type="square"/>
              <v:imagedata r:id="rId2" o:title=""/>
              <o:lock v:ext="edit" rotation="t"/>
            </v:shape>
          </w:pict>
        </mc:Fallback>
      </mc:AlternateContent>
    </w:r>
    <w:r>
      <w:rPr>
        <w:noProof/>
        <w:lang w:eastAsia="en-GB"/>
      </w:rPr>
      <mc:AlternateContent>
        <mc:Choice Requires="wpg">
          <w:drawing>
            <wp:anchor distT="0" distB="0" distL="114300" distR="114300" simplePos="0" relativeHeight="251669504" behindDoc="0" locked="0" layoutInCell="1" allowOverlap="1" wp14:anchorId="71F03A82" wp14:editId="28017EBF">
              <wp:simplePos x="0" y="0"/>
              <wp:positionH relativeFrom="page">
                <wp:posOffset>225425</wp:posOffset>
              </wp:positionH>
              <wp:positionV relativeFrom="page">
                <wp:posOffset>9106535</wp:posOffset>
              </wp:positionV>
              <wp:extent cx="7128000" cy="0"/>
              <wp:effectExtent l="0" t="0" r="15875" b="19050"/>
              <wp:wrapNone/>
              <wp:docPr id="31" name="Connecteur droit 11"/>
              <wp:cNvGraphicFramePr/>
              <a:graphic xmlns:a="http://schemas.openxmlformats.org/drawingml/2006/main">
                <a:graphicData uri="http://schemas.microsoft.com/office/word/2010/wordprocessingShape">
                  <wps:wsp>
                    <wps:cNvCnPr/>
                    <wps:spPr bwMode="auto">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v:line id="shape 16" o:spid="_x0000_s16" style="position:absolute;left:0;text-align:left;z-index:251669504;mso-wrap-distance-left:9.00pt;mso-wrap-distance-top:0.00pt;mso-wrap-distance-right:9.00pt;mso-wrap-distance-bottom:0.00pt;visibility:visible;" from="17.8pt,717.0pt" to="579.0pt,717.0pt" filled="f" strokecolor="#00558C" strokeweight="1.00pt">
              <v:stroke dashstyle="solid"/>
            </v:line>
          </w:pict>
        </mc:Fallback>
      </mc:AlternateContent>
    </w:r>
    <w:r>
      <w:t xml:space="preserve"> </w:t>
    </w:r>
  </w:p>
  <w:p w14:paraId="0275AAF2" w14:textId="77777777" w:rsidR="00066EC8" w:rsidRDefault="00066EC8">
    <w:pPr>
      <w:pStyle w:val="Footer"/>
    </w:pPr>
  </w:p>
  <w:p w14:paraId="772BB3EB" w14:textId="77777777" w:rsidR="00066EC8" w:rsidRDefault="00000000">
    <w:pPr>
      <w:pStyle w:val="Footer"/>
      <w:tabs>
        <w:tab w:val="left" w:pos="1781"/>
      </w:tabs>
    </w:pPr>
    <w:r>
      <w:tab/>
    </w:r>
  </w:p>
  <w:p w14:paraId="62A22C71" w14:textId="77777777" w:rsidR="00066EC8" w:rsidRDefault="00066EC8">
    <w:pPr>
      <w:pStyle w:val="Footer"/>
    </w:pPr>
  </w:p>
  <w:p w14:paraId="028FD561" w14:textId="77777777" w:rsidR="00066EC8" w:rsidRDefault="00000000">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3E9BE" w14:textId="77777777" w:rsidR="00066EC8" w:rsidRDefault="00000000">
    <w:r>
      <w:rPr>
        <w:noProof/>
        <w:lang w:eastAsia="en-GB"/>
      </w:rPr>
      <mc:AlternateContent>
        <mc:Choice Requires="wpg">
          <w:drawing>
            <wp:anchor distT="0" distB="0" distL="114300" distR="114300" simplePos="0" relativeHeight="251691008" behindDoc="0" locked="0" layoutInCell="1" allowOverlap="1" wp14:anchorId="7635F0E5" wp14:editId="0E677363">
              <wp:simplePos x="0" y="0"/>
              <wp:positionH relativeFrom="page">
                <wp:posOffset>281940</wp:posOffset>
              </wp:positionH>
              <wp:positionV relativeFrom="page">
                <wp:posOffset>9942195</wp:posOffset>
              </wp:positionV>
              <wp:extent cx="7128000" cy="0"/>
              <wp:effectExtent l="0" t="0" r="15875" b="19050"/>
              <wp:wrapNone/>
              <wp:docPr id="32" name="Connecteur droit 11"/>
              <wp:cNvGraphicFramePr/>
              <a:graphic xmlns:a="http://schemas.openxmlformats.org/drawingml/2006/main">
                <a:graphicData uri="http://schemas.microsoft.com/office/word/2010/wordprocessingShape">
                  <wps:wsp>
                    <wps:cNvCnPr/>
                    <wps:spPr bwMode="auto">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v:line id="shape 17" o:spid="_x0000_s17" style="position:absolute;left:0;text-align:left;z-index:251691008;mso-wrap-distance-left:9.00pt;mso-wrap-distance-top:0.00pt;mso-wrap-distance-right:9.00pt;mso-wrap-distance-bottom:0.00pt;visibility:visible;" from="22.2pt,782.8pt" to="583.5pt,782.8pt" filled="f" strokecolor="#00558C" strokeweight="1.00pt">
              <v:stroke dashstyle="solid"/>
            </v:line>
          </w:pict>
        </mc:Fallback>
      </mc:AlternateContent>
    </w:r>
  </w:p>
  <w:p w14:paraId="5B4B09D8" w14:textId="77777777" w:rsidR="00066EC8" w:rsidRDefault="00000000">
    <w:pPr>
      <w:rPr>
        <w:rStyle w:val="PageNumber"/>
        <w:szCs w:val="15"/>
      </w:rPr>
    </w:pPr>
    <w:r>
      <w:rPr>
        <w:szCs w:val="15"/>
      </w:rPr>
      <w:fldChar w:fldCharType="begin"/>
    </w:r>
    <w:r>
      <w:rPr>
        <w:szCs w:val="15"/>
      </w:rPr>
      <w:instrText xml:space="preserve"> STYLEREF "Document title" \* MERGEFORMAT </w:instrText>
    </w:r>
    <w:r>
      <w:rPr>
        <w:szCs w:val="15"/>
      </w:rPr>
      <w:fldChar w:fldCharType="separate"/>
    </w:r>
    <w:r>
      <w:rPr>
        <w:b/>
        <w:bCs/>
        <w:szCs w:val="15"/>
        <w:lang w:val="fr-FR"/>
      </w:rPr>
      <w:t>Erreur ! Utilisez l'onglet Accueil pour appliquer</w:t>
    </w:r>
    <w:r>
      <w:rPr>
        <w:b/>
        <w:lang w:val="fr-FR"/>
      </w:rPr>
      <w:t xml:space="preserve"> Document title </w:t>
    </w:r>
    <w:r>
      <w:rPr>
        <w:b/>
        <w:bCs/>
        <w:szCs w:val="15"/>
        <w:lang w:val="fr-FR"/>
      </w:rPr>
      <w:t>au texte que vous souhaitez faire apparaître ici</w:t>
    </w:r>
    <w:r>
      <w:rPr>
        <w:b/>
        <w:lang w:val="fr-FR"/>
      </w:rPr>
      <w:t>.</w:t>
    </w:r>
    <w:r>
      <w:rPr>
        <w:szCs w:val="15"/>
      </w:rPr>
      <w:fldChar w:fldCharType="end"/>
    </w:r>
    <w:r>
      <w:rPr>
        <w:szCs w:val="15"/>
        <w:lang w:val="en-US"/>
      </w:rPr>
      <w:t xml:space="preserve"> </w:t>
    </w:r>
    <w:r>
      <w:rPr>
        <w:szCs w:val="15"/>
      </w:rPr>
      <w:fldChar w:fldCharType="begin"/>
    </w:r>
    <w:r>
      <w:rPr>
        <w:szCs w:val="15"/>
        <w:lang w:val="en-US"/>
      </w:rPr>
      <w:instrText xml:space="preserve"> STYLEREF "Document number" \* MERGEFORMAT </w:instrText>
    </w:r>
    <w:r>
      <w:rPr>
        <w:szCs w:val="15"/>
      </w:rPr>
      <w:fldChar w:fldCharType="separate"/>
    </w:r>
    <w:r>
      <w:rPr>
        <w:szCs w:val="15"/>
      </w:rPr>
      <w:t>G1192</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bCs/>
        <w:szCs w:val="15"/>
        <w:lang w:val="fr-FR"/>
      </w:rPr>
      <w:t>Erreur ! Utilisez l'onglet Accueil pour appliquer Subtitle au texte que vous souhaitez faire apparaître ici.</w:t>
    </w:r>
    <w:r>
      <w:rPr>
        <w:szCs w:val="15"/>
      </w:rPr>
      <w:fldChar w:fldCharType="end"/>
    </w:r>
  </w:p>
  <w:p w14:paraId="68C58BFE" w14:textId="77777777" w:rsidR="00066EC8" w:rsidRDefault="00000000">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1.0</w:t>
    </w:r>
    <w:r>
      <w:rPr>
        <w:szCs w:val="15"/>
      </w:rPr>
      <w:fldChar w:fldCharType="end"/>
    </w:r>
    <w:r>
      <w:rPr>
        <w:szCs w:val="15"/>
      </w:rP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BCE76" w14:textId="77777777" w:rsidR="00066EC8" w:rsidRDefault="00066EC8">
    <w:pPr>
      <w:pStyle w:val="Footerportrait"/>
    </w:pPr>
  </w:p>
  <w:p w14:paraId="095C7650" w14:textId="59E5E6D7" w:rsidR="00066EC8" w:rsidRDefault="00000000">
    <w:pPr>
      <w:pStyle w:val="Footerportrait"/>
      <w:spacing w:after="0"/>
      <w:rPr>
        <w:rStyle w:val="PageNumber"/>
        <w:lang w:val="fr-FR"/>
      </w:rPr>
    </w:pPr>
    <w:r>
      <w:fldChar w:fldCharType="begin"/>
    </w:r>
    <w:r>
      <w:rPr>
        <w:lang w:val="fr-FR"/>
      </w:rPr>
      <w:instrText xml:space="preserve"> STYLEREF  "Document type"  \* MERGEFORMAT </w:instrText>
    </w:r>
    <w:r>
      <w:fldChar w:fldCharType="separate"/>
    </w:r>
    <w:r w:rsidR="002C6C70">
      <w:rPr>
        <w:noProof/>
        <w:lang w:val="fr-FR"/>
      </w:rPr>
      <w:t>IALA Guideline</w:t>
    </w:r>
    <w:r>
      <w:fldChar w:fldCharType="end"/>
    </w:r>
    <w:r>
      <w:rPr>
        <w:lang w:val="fr-FR"/>
      </w:rPr>
      <w:t xml:space="preserve"> </w:t>
    </w:r>
    <w:r>
      <w:fldChar w:fldCharType="begin"/>
    </w:r>
    <w:r>
      <w:rPr>
        <w:lang w:val="fr-FR"/>
      </w:rPr>
      <w:instrText xml:space="preserve"> STYLEREF "Document number" \* MERGEFORMAT </w:instrText>
    </w:r>
    <w:r>
      <w:fldChar w:fldCharType="separate"/>
    </w:r>
    <w:r w:rsidR="002C6C70" w:rsidRPr="002C6C70">
      <w:rPr>
        <w:noProof/>
      </w:rPr>
      <w:t>GXXXX</w:t>
    </w:r>
    <w:r>
      <w:fldChar w:fldCharType="end"/>
    </w:r>
    <w:r>
      <w:rPr>
        <w:lang w:val="fr-FR"/>
      </w:rPr>
      <w:t xml:space="preserve"> </w:t>
    </w:r>
    <w:r>
      <w:fldChar w:fldCharType="begin"/>
    </w:r>
    <w:r>
      <w:rPr>
        <w:lang w:val="fr-FR"/>
      </w:rPr>
      <w:instrText xml:space="preserve"> STYLEREF "Document name" \* MERGEFORMAT </w:instrText>
    </w:r>
    <w:r>
      <w:fldChar w:fldCharType="separate"/>
    </w:r>
    <w:r w:rsidR="002C6C70">
      <w:rPr>
        <w:noProof/>
        <w:lang w:val="fr-FR"/>
      </w:rPr>
      <w:t>MArine Aids To Navigation (ATON): Technical Specification for the provision of AtoN information to End-Users</w:t>
    </w:r>
    <w:r>
      <w:fldChar w:fldCharType="end"/>
    </w:r>
  </w:p>
  <w:p w14:paraId="3B338ED7" w14:textId="49A6A268" w:rsidR="00066EC8" w:rsidRDefault="00000000">
    <w:pPr>
      <w:pStyle w:val="Footerportrait"/>
      <w:spacing w:after="0"/>
    </w:pPr>
    <w:fldSimple w:instr=" STYLEREF &quot;Edition number&quot; \* MERGEFORMAT ">
      <w:r w:rsidR="002C6C70">
        <w:rPr>
          <w:noProof/>
        </w:rPr>
        <w:t xml:space="preserve">Edition </w:t>
      </w:r>
      <w:r w:rsidR="002C6C70" w:rsidRPr="002C6C70">
        <w:rPr>
          <w:b w:val="0"/>
          <w:bCs/>
          <w:noProof/>
        </w:rPr>
        <w:t>1.0</w:t>
      </w:r>
    </w:fldSimple>
    <w:r>
      <w:t xml:space="preserve"> </w:t>
    </w:r>
    <w:fldSimple w:instr="STYLEREF MRN  \* MERGEFORMAT ">
      <w:r w:rsidR="002C6C70">
        <w:rPr>
          <w:noProof/>
        </w:rPr>
        <w:t>urn:mrn:iala:pub:gXXXX:ed.1.0</w:t>
      </w:r>
    </w:fldSimple>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4</w:t>
    </w:r>
    <w:r>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9A366" w14:textId="77777777" w:rsidR="00066EC8" w:rsidRDefault="00066EC8">
    <w:pPr>
      <w:pStyle w:val="Footerportrait"/>
    </w:pPr>
  </w:p>
  <w:p w14:paraId="4CDE4D4E" w14:textId="77777777" w:rsidR="00066EC8" w:rsidRDefault="00000000">
    <w:pPr>
      <w:pStyle w:val="Footerportrait"/>
      <w:rPr>
        <w:rStyle w:val="PageNumber"/>
        <w:lang w:val="fr-FR"/>
      </w:rPr>
    </w:pPr>
    <w:r>
      <w:fldChar w:fldCharType="begin"/>
    </w:r>
    <w:r>
      <w:rPr>
        <w:lang w:val="fr-FR"/>
      </w:rPr>
      <w:instrText xml:space="preserve"> STYLEREF "Document type" \* MERGEFORMAT </w:instrText>
    </w:r>
    <w:r>
      <w:fldChar w:fldCharType="separate"/>
    </w:r>
    <w:r>
      <w:rPr>
        <w:lang w:val="fr-FR"/>
      </w:rPr>
      <w:t>IALA Guideline</w:t>
    </w:r>
    <w:r>
      <w:fldChar w:fldCharType="end"/>
    </w:r>
    <w:r>
      <w:rPr>
        <w:lang w:val="fr-FR"/>
      </w:rPr>
      <w:t xml:space="preserve"> </w:t>
    </w:r>
    <w:r>
      <w:fldChar w:fldCharType="begin"/>
    </w:r>
    <w:r>
      <w:rPr>
        <w:lang w:val="fr-FR"/>
      </w:rPr>
      <w:instrText xml:space="preserve"> STYLEREF "Document number" \* MERGEFORMAT </w:instrText>
    </w:r>
    <w:r>
      <w:fldChar w:fldCharType="separate"/>
    </w:r>
    <w:r>
      <w:rPr>
        <w:bCs/>
        <w:lang w:val="fr-FR"/>
      </w:rPr>
      <w:t>G1192</w:t>
    </w:r>
    <w:r>
      <w:rPr>
        <w:bCs/>
      </w:rPr>
      <w:fldChar w:fldCharType="end"/>
    </w:r>
    <w:r>
      <w:rPr>
        <w:lang w:val="fr-FR"/>
      </w:rPr>
      <w:t xml:space="preserve"> </w:t>
    </w:r>
    <w:r>
      <w:fldChar w:fldCharType="begin"/>
    </w:r>
    <w:r>
      <w:rPr>
        <w:lang w:val="fr-FR"/>
      </w:rPr>
      <w:instrText xml:space="preserve"> STYLEREF "Document name" \* MERGEFORMAT </w:instrText>
    </w:r>
    <w:r>
      <w:fldChar w:fldCharType="separate"/>
    </w:r>
    <w:r>
      <w:rPr>
        <w:b w:val="0"/>
        <w:bCs/>
        <w:lang w:val="fr-FR"/>
      </w:rPr>
      <w:t>VDES Authentication</w:t>
    </w:r>
    <w:r>
      <w:rPr>
        <w:lang w:val="fr-FR"/>
      </w:rPr>
      <w:t xml:space="preserve"> Techniques</w:t>
    </w:r>
    <w:r>
      <w:fldChar w:fldCharType="end"/>
    </w:r>
  </w:p>
  <w:p w14:paraId="07488D98" w14:textId="77777777" w:rsidR="00066EC8" w:rsidRDefault="00000000">
    <w:pPr>
      <w:pStyle w:val="Footerportrait"/>
    </w:pPr>
    <w:fldSimple w:instr="STYLEREF &quot;Edition number&quot; \* MERGEFORMAT ">
      <w:r>
        <w:t>Edition 1.0</w:t>
      </w:r>
    </w:fldSimple>
    <w:r>
      <w:t xml:space="preserve"> </w:t>
    </w:r>
    <w:fldSimple w:instr="STYLEREF MRN  \* MERGEFORMAT ">
      <w:r>
        <w:t>urn:mrn:iala:pub:g1192:ed.1.0</w:t>
      </w:r>
    </w:fldSimple>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9019F" w14:textId="77777777" w:rsidR="00066EC8" w:rsidRDefault="00000000">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C701FBB" w14:textId="77777777" w:rsidR="00066EC8" w:rsidRDefault="000000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47E233A" w14:textId="77777777" w:rsidR="00066EC8" w:rsidRDefault="000000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61A16D3" w14:textId="77777777" w:rsidR="00066EC8" w:rsidRDefault="000000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1EA83AD" w14:textId="77777777" w:rsidR="00066EC8" w:rsidRDefault="00066EC8">
    <w:pPr>
      <w:pStyle w:val="Footer"/>
      <w:ind w:right="360"/>
    </w:pPr>
  </w:p>
  <w:p w14:paraId="7CCA7AC1" w14:textId="77777777" w:rsidR="00066EC8" w:rsidRDefault="00066EC8"/>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2A030" w14:textId="77777777" w:rsidR="00066EC8" w:rsidRDefault="00000000">
    <w:r>
      <w:rPr>
        <w:noProof/>
        <w:lang w:eastAsia="en-GB"/>
      </w:rPr>
      <mc:AlternateContent>
        <mc:Choice Requires="wpg">
          <w:drawing>
            <wp:anchor distT="0" distB="0" distL="114300" distR="114300" simplePos="0" relativeHeight="251736064" behindDoc="0" locked="0" layoutInCell="1" allowOverlap="1" wp14:anchorId="3D21FEE7" wp14:editId="5C3CB4EA">
              <wp:simplePos x="0" y="0"/>
              <wp:positionH relativeFrom="page">
                <wp:posOffset>281940</wp:posOffset>
              </wp:positionH>
              <wp:positionV relativeFrom="page">
                <wp:posOffset>9942195</wp:posOffset>
              </wp:positionV>
              <wp:extent cx="7128000" cy="0"/>
              <wp:effectExtent l="0" t="0" r="15875" b="19050"/>
              <wp:wrapNone/>
              <wp:docPr id="33" name="Connecteur droit 11"/>
              <wp:cNvGraphicFramePr/>
              <a:graphic xmlns:a="http://schemas.openxmlformats.org/drawingml/2006/main">
                <a:graphicData uri="http://schemas.microsoft.com/office/word/2010/wordprocessingShape">
                  <wps:wsp>
                    <wps:cNvCnPr/>
                    <wps:spPr bwMode="auto">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v:line id="shape 18" o:spid="_x0000_s18" style="position:absolute;left:0;text-align:left;z-index:251736064;mso-wrap-distance-left:9.00pt;mso-wrap-distance-top:0.00pt;mso-wrap-distance-right:9.00pt;mso-wrap-distance-bottom:0.00pt;visibility:visible;" from="22.2pt,782.8pt" to="583.5pt,782.8pt" filled="f" strokecolor="#00558C" strokeweight="1.00pt">
              <v:stroke dashstyle="solid"/>
            </v:line>
          </w:pict>
        </mc:Fallback>
      </mc:AlternateContent>
    </w:r>
  </w:p>
  <w:p w14:paraId="35E83CE3" w14:textId="77777777" w:rsidR="00066EC8" w:rsidRDefault="00000000">
    <w:pPr>
      <w:rPr>
        <w:rStyle w:val="PageNumber"/>
        <w:szCs w:val="15"/>
      </w:rPr>
    </w:pPr>
    <w:r>
      <w:rPr>
        <w:szCs w:val="15"/>
      </w:rPr>
      <w:fldChar w:fldCharType="begin"/>
    </w:r>
    <w:r>
      <w:rPr>
        <w:szCs w:val="15"/>
      </w:rPr>
      <w:instrText xml:space="preserve"> STYLEREF "Document title" \* MERGEFORMAT </w:instrText>
    </w:r>
    <w:r>
      <w:rPr>
        <w:szCs w:val="15"/>
      </w:rPr>
      <w:fldChar w:fldCharType="separate"/>
    </w:r>
    <w:r>
      <w:rPr>
        <w:b/>
        <w:bCs/>
        <w:szCs w:val="15"/>
        <w:lang w:val="fr-FR"/>
      </w:rPr>
      <w:t>Erreur ! Utilisez l'onglet Accueil pour appliquer</w:t>
    </w:r>
    <w:r>
      <w:rPr>
        <w:b/>
        <w:lang w:val="fr-FR"/>
      </w:rPr>
      <w:t xml:space="preserve"> Document title </w:t>
    </w:r>
    <w:r>
      <w:rPr>
        <w:b/>
        <w:bCs/>
        <w:szCs w:val="15"/>
        <w:lang w:val="fr-FR"/>
      </w:rPr>
      <w:t>au texte que vous souhaitez faire apparaître ici</w:t>
    </w:r>
    <w:r>
      <w:rPr>
        <w:b/>
        <w:lang w:val="fr-FR"/>
      </w:rPr>
      <w:t>.</w:t>
    </w:r>
    <w:r>
      <w:rPr>
        <w:szCs w:val="15"/>
      </w:rPr>
      <w:fldChar w:fldCharType="end"/>
    </w:r>
    <w:r>
      <w:rPr>
        <w:szCs w:val="15"/>
        <w:lang w:val="en-US"/>
      </w:rPr>
      <w:t xml:space="preserve"> </w:t>
    </w:r>
    <w:r>
      <w:rPr>
        <w:szCs w:val="15"/>
      </w:rPr>
      <w:fldChar w:fldCharType="begin"/>
    </w:r>
    <w:r>
      <w:rPr>
        <w:szCs w:val="15"/>
        <w:lang w:val="en-US"/>
      </w:rPr>
      <w:instrText xml:space="preserve"> STYLEREF "Document number" \* MERGEFORMAT </w:instrText>
    </w:r>
    <w:r>
      <w:rPr>
        <w:szCs w:val="15"/>
      </w:rPr>
      <w:fldChar w:fldCharType="separate"/>
    </w:r>
    <w:r>
      <w:rPr>
        <w:szCs w:val="15"/>
      </w:rPr>
      <w:t>G1192</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bCs/>
        <w:szCs w:val="15"/>
        <w:lang w:val="fr-FR"/>
      </w:rPr>
      <w:t>Erreur ! Utilisez l'onglet Accueil pour appliquer Subtitle au texte que vous souhaitez faire apparaître ici.</w:t>
    </w:r>
    <w:r>
      <w:rPr>
        <w:szCs w:val="15"/>
      </w:rPr>
      <w:fldChar w:fldCharType="end"/>
    </w:r>
  </w:p>
  <w:p w14:paraId="2974963A" w14:textId="77777777" w:rsidR="00066EC8" w:rsidRDefault="00000000">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1.0</w:t>
    </w:r>
    <w:r>
      <w:rPr>
        <w:szCs w:val="15"/>
      </w:rPr>
      <w:fldChar w:fldCharType="end"/>
    </w:r>
    <w:r>
      <w:rPr>
        <w:szCs w:val="15"/>
      </w:rP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p w14:paraId="78B3E6AA" w14:textId="77777777" w:rsidR="00066EC8" w:rsidRDefault="00066EC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288AF0" w14:textId="77777777" w:rsidR="005D480D" w:rsidRDefault="005D480D">
      <w:r>
        <w:separator/>
      </w:r>
    </w:p>
    <w:p w14:paraId="246708E8" w14:textId="77777777" w:rsidR="005D480D" w:rsidRDefault="005D480D"/>
    <w:p w14:paraId="1FCD7F87" w14:textId="77777777" w:rsidR="005D480D" w:rsidRDefault="005D480D"/>
  </w:footnote>
  <w:footnote w:type="continuationSeparator" w:id="0">
    <w:p w14:paraId="4E2457D6" w14:textId="77777777" w:rsidR="005D480D" w:rsidRDefault="005D480D">
      <w:r>
        <w:continuationSeparator/>
      </w:r>
    </w:p>
    <w:p w14:paraId="634A805C" w14:textId="77777777" w:rsidR="005D480D" w:rsidRDefault="005D480D"/>
    <w:p w14:paraId="3C2B3E89" w14:textId="77777777" w:rsidR="005D480D" w:rsidRDefault="005D480D"/>
  </w:footnote>
  <w:footnote w:type="continuationNotice" w:id="1">
    <w:p w14:paraId="56D743AE" w14:textId="77777777" w:rsidR="005D480D" w:rsidRDefault="005D480D">
      <w:pPr>
        <w:spacing w:after="0" w:line="240" w:lineRule="auto"/>
      </w:pPr>
    </w:p>
    <w:p w14:paraId="1B4C4DB8" w14:textId="77777777" w:rsidR="005D480D" w:rsidRDefault="005D48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3BA8E" w14:textId="77777777" w:rsidR="00066EC8" w:rsidRDefault="00000000">
    <w:pPr>
      <w:pStyle w:val="Header"/>
    </w:pPr>
    <w:r>
      <w:rPr>
        <w:noProof/>
      </w:rPr>
      <mc:AlternateContent>
        <mc:Choice Requires="wps">
          <w:drawing>
            <wp:anchor distT="0" distB="0" distL="114300" distR="114300" simplePos="0" relativeHeight="251611136" behindDoc="1" locked="0" layoutInCell="0" allowOverlap="1" wp14:anchorId="397A235C" wp14:editId="1DAB462F">
              <wp:simplePos x="0" y="0"/>
              <wp:positionH relativeFrom="margin">
                <wp:align>center</wp:align>
              </wp:positionH>
              <wp:positionV relativeFrom="margin">
                <wp:align>center</wp:align>
              </wp:positionV>
              <wp:extent cx="5709920" cy="3425825"/>
              <wp:effectExtent l="0" t="0" r="0" b="0"/>
              <wp:wrapNone/>
              <wp:docPr id="17" name="_x0000_s1026"/>
              <wp:cNvGraphicFramePr/>
              <a:graphic xmlns:a="http://schemas.openxmlformats.org/drawingml/2006/main">
                <a:graphicData uri="http://schemas.microsoft.com/office/word/2010/wordprocessingShape">
                  <wps:wsp>
                    <wps:cNvSpPr/>
                    <wps:spPr bwMode="auto">
                      <a:xfrm rot="18900000">
                        <a:off x="0" y="0"/>
                        <a:ext cx="5709920" cy="3425825"/>
                      </a:xfrm>
                      <a:prstGeom prst="rect">
                        <a:avLst/>
                      </a:prstGeom>
                      <a:noFill/>
                      <a:ln>
                        <a:noFill/>
                      </a:ln>
                    </wps:spPr>
                    <wps:txbx>
                      <w:txbxContent>
                        <w:p w14:paraId="1FF55C69" w14:textId="77777777" w:rsidR="00066EC8" w:rsidRDefault="00000000">
                          <w:pPr>
                            <w:jc w:val="cente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pPr>
                          <w: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t>DRAFT</w:t>
                          </w:r>
                        </w:p>
                      </w:txbxContent>
                    </wps:txbx>
                    <wps:bodyPr wrap="square" lIns="0" tIns="0" rIns="0" bIns="0" numCol="1" fromWordArt="1">
                      <a:prstTxWarp prst="textPlain">
                        <a:avLst>
                          <a:gd name="adj" fmla="val 50000"/>
                        </a:avLst>
                      </a:prstTxWarp>
                      <a:normAutofit/>
                    </wps:bodyPr>
                  </wps:wsp>
                </a:graphicData>
              </a:graphic>
            </wp:anchor>
          </w:drawing>
        </mc:Choice>
        <mc:Fallback>
          <w:pict>
            <v:rect w14:anchorId="397A235C" id="_x0000_s1026" o:spid="_x0000_s1026" style="position:absolute;margin-left:0;margin-top:0;width:449.6pt;height:269.75pt;rotation:-45;z-index:-251705344;visibility:visible;mso-wrap-style:squar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" o:allowincell="f" filled="f" stroked="f">
              <v:textbox inset="0,0,0,0">
                <w:txbxContent>
                  <w:p w14:paraId="1FF55C69" w14:textId="77777777" w:rsidR="00066EC8" w:rsidRDefault="00000000">
                    <w:pPr>
                      <w:jc w:val="cente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pPr>
                    <w: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t>DRAFT</w:t>
                    </w:r>
                  </w:p>
                </w:txbxContent>
              </v:textbox>
              <w10:wrap anchorx="margin" anchory="margin"/>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4302" w14:textId="77777777" w:rsidR="00066EC8" w:rsidRDefault="00000000">
    <w:pPr>
      <w:pStyle w:val="Header"/>
    </w:pPr>
    <w:r>
      <w:rPr>
        <w:noProof/>
        <w:lang w:eastAsia="en-GB"/>
      </w:rPr>
      <mc:AlternateContent>
        <mc:Choice Requires="wps">
          <w:drawing>
            <wp:anchor distT="0" distB="0" distL="114300" distR="114300" simplePos="0" relativeHeight="251727872" behindDoc="1" locked="0" layoutInCell="0" allowOverlap="1" wp14:anchorId="3A3C1AF1" wp14:editId="2EE25CBA">
              <wp:simplePos x="0" y="0"/>
              <wp:positionH relativeFrom="margin">
                <wp:align>center</wp:align>
              </wp:positionH>
              <wp:positionV relativeFrom="margin">
                <wp:align>center</wp:align>
              </wp:positionV>
              <wp:extent cx="5709920" cy="3425825"/>
              <wp:effectExtent l="0" t="1247775" r="0" b="71755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wps:spPr>
                    <wps:txbx>
                      <w:txbxContent>
                        <w:p w14:paraId="6BFDAC0C" w14:textId="77777777" w:rsidR="00066EC8" w:rsidRDefault="00000000">
                          <w:pPr>
                            <w:pStyle w:val="NormalWeb"/>
                            <w:spacing w:after="0"/>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A3C1AF1" id="_x0000_t202" coordsize="21600,21600" o:spt="202" path="m,l,21600r21600,l21600,xe">
              <v:stroke joinstyle="miter"/>
              <v:path gradientshapeok="t" o:connecttype="rect"/>
            </v:shapetype>
            <v:shape id="Text Box 2" o:spid="_x0000_s1030" type="#_x0000_t202" style="position:absolute;margin-left:0;margin-top:0;width:449.6pt;height:269.75pt;rotation:-45;z-index:-2515886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" o:allowincell="f" filled="f" stroked="f">
              <o:lock v:ext="edit" shapetype="t"/>
              <v:textbox style="mso-fit-shape-to-text:t">
                <w:txbxContent>
                  <w:p w14:paraId="6BFDAC0C" w14:textId="77777777" w:rsidR="00066EC8" w:rsidRDefault="00000000">
                    <w:pPr>
                      <w:pStyle w:val="NormalWeb"/>
                      <w:spacing w:after="0"/>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25997FAA" w14:textId="77777777" w:rsidR="00066EC8" w:rsidRDefault="00066EC8"/>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EC5A9" w14:textId="77777777" w:rsidR="00066EC8" w:rsidRDefault="00000000">
    <w:pPr>
      <w:pStyle w:val="Header"/>
    </w:pPr>
    <w:r>
      <w:rPr>
        <w:noProof/>
        <w:lang w:eastAsia="en-GB"/>
      </w:rPr>
      <mc:AlternateContent>
        <mc:Choice Requires="wpg">
          <w:drawing>
            <wp:anchor distT="0" distB="0" distL="114300" distR="114300" simplePos="0" relativeHeight="251738112" behindDoc="1" locked="0" layoutInCell="1" allowOverlap="1" wp14:anchorId="3D0C28DB" wp14:editId="168838DF">
              <wp:simplePos x="0" y="0"/>
              <wp:positionH relativeFrom="page">
                <wp:posOffset>6848223</wp:posOffset>
              </wp:positionH>
              <wp:positionV relativeFrom="page">
                <wp:posOffset>264</wp:posOffset>
              </wp:positionV>
              <wp:extent cx="720000" cy="72000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go_suite.png"/>
                      <pic:cNvPicPr>
                        <a:picLocks noChangeAspect="1"/>
                      </pic:cNvPicPr>
                    </pic:nvPicPr>
                    <pic:blipFill rotWithShape="1">
                      <a:blip r:embed="rId1"/>
                      <a:stretch/>
                    </pic:blipFill>
                    <pic:spPr bwMode="auto">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position:absolute;z-index:-251738112;o:allowoverlap:true;o:allowincell:true;mso-position-horizontal-relative:page;margin-left:539.23pt;mso-position-horizontal:absolute;mso-position-vertical-relative:page;margin-top:0.02pt;mso-position-vertical:absolute;width:56.69pt;height:56.69pt;mso-wrap-distance-left:9.00pt;mso-wrap-distance-top:0.00pt;mso-wrap-distance-right:9.00pt;mso-wrap-distance-bottom:0.00pt;z-index:1;" stroked="false">
              <v:imagedata r:id="rId2" o:title=""/>
              <o:lock v:ext="edit" rotation="t"/>
            </v:shape>
          </w:pict>
        </mc:Fallback>
      </mc:AlternateContent>
    </w:r>
  </w:p>
  <w:p w14:paraId="2321BD1D" w14:textId="77777777" w:rsidR="00066EC8" w:rsidRDefault="00066EC8"/>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EB89CA" w14:textId="77777777" w:rsidR="00066EC8" w:rsidRDefault="00000000">
    <w:pPr>
      <w:pStyle w:val="Header"/>
    </w:pPr>
    <w:r>
      <w:rPr>
        <w:noProof/>
        <w:lang w:eastAsia="en-GB"/>
      </w:rPr>
      <mc:AlternateContent>
        <mc:Choice Requires="wps">
          <w:drawing>
            <wp:anchor distT="0" distB="0" distL="114300" distR="114300" simplePos="0" relativeHeight="251729920" behindDoc="1" locked="0" layoutInCell="0" allowOverlap="1" wp14:anchorId="02FA784A" wp14:editId="5DE567FA">
              <wp:simplePos x="0" y="0"/>
              <wp:positionH relativeFrom="margin">
                <wp:align>center</wp:align>
              </wp:positionH>
              <wp:positionV relativeFrom="margin">
                <wp:align>center</wp:align>
              </wp:positionV>
              <wp:extent cx="5709920" cy="3425825"/>
              <wp:effectExtent l="0" t="1247775" r="0" b="717550"/>
              <wp:wrapNone/>
              <wp:docPr id="2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wps:spPr>
                    <wps:txbx>
                      <w:txbxContent>
                        <w:p w14:paraId="034C839B" w14:textId="77777777" w:rsidR="00066EC8" w:rsidRDefault="00000000">
                          <w:pPr>
                            <w:pStyle w:val="NormalWeb"/>
                            <w:spacing w:after="0"/>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2FA784A" id="_x0000_t202" coordsize="21600,21600" o:spt="202" path="m,l,21600r21600,l21600,xe">
              <v:stroke joinstyle="miter"/>
              <v:path gradientshapeok="t" o:connecttype="rect"/>
            </v:shapetype>
            <v:shape id="Text Box 1" o:spid="_x0000_s1031" type="#_x0000_t202" style="position:absolute;margin-left:0;margin-top:0;width:449.6pt;height:269.75pt;rotation:-45;z-index:-2515865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Kju9wEAAMw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" o:allowincell="f" filled="f" stroked="f">
              <o:lock v:ext="edit" shapetype="t"/>
              <v:textbox style="mso-fit-shape-to-text:t">
                <w:txbxContent>
                  <w:p w14:paraId="034C839B" w14:textId="77777777" w:rsidR="00066EC8" w:rsidRDefault="00000000">
                    <w:pPr>
                      <w:pStyle w:val="NormalWeb"/>
                      <w:spacing w:after="0"/>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GB"/>
      </w:rPr>
      <mc:AlternateContent>
        <mc:Choice Requires="wpg">
          <w:drawing>
            <wp:anchor distT="0" distB="0" distL="114300" distR="114300" simplePos="0" relativeHeight="251735040" behindDoc="1" locked="0" layoutInCell="1" allowOverlap="1" wp14:anchorId="44D2CB66" wp14:editId="65D1CFE9">
              <wp:simplePos x="0" y="0"/>
              <wp:positionH relativeFrom="page">
                <wp:posOffset>6827653</wp:posOffset>
              </wp:positionH>
              <wp:positionV relativeFrom="page">
                <wp:posOffset>0</wp:posOffset>
              </wp:positionV>
              <wp:extent cx="720000" cy="720000"/>
              <wp:effectExtent l="0" t="0" r="4445" b="4445"/>
              <wp:wrapNone/>
              <wp:docPr id="2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logo_suite.png"/>
                      <pic:cNvPicPr>
                        <a:picLocks noChangeAspect="1"/>
                      </pic:cNvPicPr>
                    </pic:nvPicPr>
                    <pic:blipFill rotWithShape="1">
                      <a:blip r:embed="rId1"/>
                      <a:stretch/>
                    </pic:blipFill>
                    <pic:spPr bwMode="auto">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position:absolute;z-index:-251735040;o:allowoverlap:true;o:allowincell:true;mso-position-horizontal-relative:page;margin-left:537.61pt;mso-position-horizontal:absolute;mso-position-vertical-relative:page;margin-top:0.00pt;mso-position-vertical:absolute;width:56.69pt;height:56.69pt;mso-wrap-distance-left:9.00pt;mso-wrap-distance-top:0.00pt;mso-wrap-distance-right:9.00pt;mso-wrap-distance-bottom:0.00pt;z-index:1;" stroked="false">
              <v:imagedata r:id="rId2" o:title=""/>
              <o:lock v:ext="edit" rotation="t"/>
            </v:shape>
          </w:pict>
        </mc:Fallback>
      </mc:AlternateContent>
    </w:r>
  </w:p>
  <w:p w14:paraId="5711DE87" w14:textId="77777777" w:rsidR="00066EC8" w:rsidRDefault="00066EC8">
    <w:pPr>
      <w:pStyle w:val="Header"/>
    </w:pPr>
  </w:p>
  <w:p w14:paraId="6392BA35" w14:textId="77777777" w:rsidR="00066EC8" w:rsidRDefault="00066EC8">
    <w:pPr>
      <w:pStyle w:val="Header"/>
    </w:pPr>
  </w:p>
  <w:p w14:paraId="0EFE62F1" w14:textId="77777777" w:rsidR="00066EC8" w:rsidRDefault="00066EC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F7E1B" w14:textId="77777777" w:rsidR="00066EC8" w:rsidRDefault="00000000">
    <w:pPr>
      <w:pStyle w:val="Header"/>
      <w:jc w:val="right"/>
      <w:rPr>
        <w:lang w:eastAsia="ko-KR"/>
      </w:rPr>
    </w:pPr>
    <w:r>
      <w:rPr>
        <w:noProof/>
        <w:sz w:val="22"/>
        <w:lang w:eastAsia="en-GB"/>
      </w:rPr>
      <mc:AlternateContent>
        <mc:Choice Requires="wpg">
          <w:drawing>
            <wp:anchor distT="0" distB="0" distL="114300" distR="114300" simplePos="0" relativeHeight="251657214" behindDoc="1" locked="0" layoutInCell="1" allowOverlap="1" wp14:anchorId="4EB030AC" wp14:editId="584807C8">
              <wp:simplePos x="0" y="0"/>
              <wp:positionH relativeFrom="page">
                <wp:posOffset>2880360</wp:posOffset>
              </wp:positionH>
              <wp:positionV relativeFrom="page">
                <wp:posOffset>180340</wp:posOffset>
              </wp:positionV>
              <wp:extent cx="1803600" cy="1440000"/>
              <wp:effectExtent l="0" t="0" r="6350" b="8255"/>
              <wp:wrapNone/>
              <wp:docPr id="1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_tdl_iala.png"/>
                      <pic:cNvPicPr>
                        <a:picLocks noChangeAspect="1"/>
                      </pic:cNvPicPr>
                    </pic:nvPicPr>
                    <pic:blipFill rotWithShape="1">
                      <a:blip r:embed="rId1"/>
                      <a:stretch/>
                    </pic:blipFill>
                    <pic:spPr bwMode="auto">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7214;o:allowoverlap:true;o:allowincell:true;mso-position-horizontal-relative:page;margin-left:226.80pt;mso-position-horizontal:absolute;mso-position-vertical-relative:page;margin-top:14.20pt;mso-position-vertical:absolute;width:142.02pt;height:113.39pt;mso-wrap-distance-left:9.00pt;mso-wrap-distance-top:0.00pt;mso-wrap-distance-right:9.00pt;mso-wrap-distance-bottom:0.00pt;z-index:1;" stroked="false">
              <v:imagedata r:id="rId2" o:title=""/>
              <o:lock v:ext="edit" rotation="t"/>
            </v:shape>
          </w:pict>
        </mc:Fallback>
      </mc:AlternateContent>
    </w:r>
  </w:p>
  <w:p w14:paraId="20859ACA" w14:textId="77777777" w:rsidR="00066EC8" w:rsidRDefault="00066EC8">
    <w:pPr>
      <w:pStyle w:val="Header"/>
    </w:pPr>
  </w:p>
  <w:p w14:paraId="40900E13" w14:textId="77777777" w:rsidR="00066EC8" w:rsidRDefault="00066EC8">
    <w:pPr>
      <w:pStyle w:val="Header"/>
    </w:pPr>
  </w:p>
  <w:p w14:paraId="7178CECF" w14:textId="77777777" w:rsidR="00066EC8" w:rsidRDefault="00066EC8">
    <w:pPr>
      <w:pStyle w:val="Header"/>
    </w:pPr>
  </w:p>
  <w:p w14:paraId="42A2C838" w14:textId="77777777" w:rsidR="00066EC8" w:rsidRDefault="00066EC8">
    <w:pPr>
      <w:pStyle w:val="Header"/>
    </w:pPr>
  </w:p>
  <w:p w14:paraId="79E7F145" w14:textId="77777777" w:rsidR="00066EC8" w:rsidRDefault="00066EC8">
    <w:pPr>
      <w:pStyle w:val="Header"/>
    </w:pPr>
  </w:p>
  <w:p w14:paraId="521FD79B" w14:textId="77777777" w:rsidR="00066EC8" w:rsidRDefault="00066EC8">
    <w:pPr>
      <w:pStyle w:val="Header"/>
    </w:pPr>
  </w:p>
  <w:p w14:paraId="2A9F32BF" w14:textId="77777777" w:rsidR="00066EC8" w:rsidRDefault="00000000">
    <w:pPr>
      <w:pStyle w:val="Header"/>
      <w:spacing w:line="360" w:lineRule="exact"/>
    </w:pPr>
    <w:r>
      <w:rPr>
        <w:noProof/>
        <w:lang w:eastAsia="en-GB"/>
      </w:rPr>
      <mc:AlternateContent>
        <mc:Choice Requires="wpg">
          <w:drawing>
            <wp:anchor distT="0" distB="0" distL="114300" distR="114300" simplePos="0" relativeHeight="251656189" behindDoc="1" locked="0" layoutInCell="1" allowOverlap="1" wp14:anchorId="5E5F6091" wp14:editId="0C087D82">
              <wp:simplePos x="0" y="0"/>
              <wp:positionH relativeFrom="page">
                <wp:posOffset>12717</wp:posOffset>
              </wp:positionH>
              <wp:positionV relativeFrom="page">
                <wp:posOffset>1499887</wp:posOffset>
              </wp:positionV>
              <wp:extent cx="7555865" cy="2339975"/>
              <wp:effectExtent l="0" t="0" r="6985" b="3175"/>
              <wp:wrapNone/>
              <wp:docPr id="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andeau_1.png"/>
                      <pic:cNvPicPr>
                        <a:picLocks noChangeAspect="1"/>
                      </pic:cNvPicPr>
                    </pic:nvPicPr>
                    <pic:blipFill rotWithShape="1">
                      <a:blip r:embed="rId3"/>
                      <a:stretch/>
                    </pic:blipFill>
                    <pic:spPr bwMode="auto">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656189;o:allowoverlap:true;o:allowincell:true;mso-position-horizontal-relative:page;margin-left:1.00pt;mso-position-horizontal:absolute;mso-position-vertical-relative:page;margin-top:118.10pt;mso-position-vertical:absolute;width:594.95pt;height:184.25pt;mso-wrap-distance-left:9.00pt;mso-wrap-distance-top:0.00pt;mso-wrap-distance-right:9.00pt;mso-wrap-distance-bottom:0.00pt;z-index:1;" stroked="false">
              <v:imagedata r:id="rId4" o:title=""/>
              <o:lock v:ext="edit" rotation="t"/>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177D7" w14:textId="77777777" w:rsidR="00066EC8" w:rsidRDefault="00000000">
    <w:pPr>
      <w:pStyle w:val="Header"/>
    </w:pPr>
    <w:r>
      <w:rPr>
        <w:noProof/>
        <w:lang w:eastAsia="en-GB"/>
      </w:rPr>
      <mc:AlternateContent>
        <mc:Choice Requires="wpg">
          <w:drawing>
            <wp:anchor distT="0" distB="0" distL="114300" distR="114300" simplePos="0" relativeHeight="251688960" behindDoc="1" locked="0" layoutInCell="1" allowOverlap="1" wp14:anchorId="5C68200E" wp14:editId="21A29B8B">
              <wp:simplePos x="0" y="0"/>
              <wp:positionH relativeFrom="page">
                <wp:posOffset>6827653</wp:posOffset>
              </wp:positionH>
              <wp:positionV relativeFrom="page">
                <wp:posOffset>0</wp:posOffset>
              </wp:positionV>
              <wp:extent cx="720000" cy="720000"/>
              <wp:effectExtent l="0" t="0" r="4445" b="4445"/>
              <wp:wrapNone/>
              <wp:docPr id="1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ogo_suite.png"/>
                      <pic:cNvPicPr>
                        <a:picLocks noChangeAspect="1"/>
                      </pic:cNvPicPr>
                    </pic:nvPicPr>
                    <pic:blipFill rotWithShape="1">
                      <a:blip r:embed="rId1"/>
                      <a:stretch/>
                    </pic:blipFill>
                    <pic:spPr bwMode="auto">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position:absolute;z-index:-251688960;o:allowoverlap:true;o:allowincell:true;mso-position-horizontal-relative:page;margin-left:537.61pt;mso-position-horizontal:absolute;mso-position-vertical-relative:page;margin-top:0.00pt;mso-position-vertical:absolute;width:56.69pt;height:56.69pt;mso-wrap-distance-left:9.00pt;mso-wrap-distance-top:0.00pt;mso-wrap-distance-right:9.00pt;mso-wrap-distance-bottom:0.00pt;z-index:1;" stroked="false">
              <v:imagedata r:id="rId2" o:title=""/>
              <o:lock v:ext="edit" rotation="t"/>
            </v:shape>
          </w:pict>
        </mc:Fallback>
      </mc:AlternateContent>
    </w:r>
  </w:p>
  <w:p w14:paraId="024F37AB" w14:textId="77777777" w:rsidR="00066EC8" w:rsidRDefault="00066EC8">
    <w:pPr>
      <w:pStyle w:val="Header"/>
    </w:pPr>
  </w:p>
  <w:p w14:paraId="34175651" w14:textId="77777777" w:rsidR="00066EC8" w:rsidRDefault="00066E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15578" w14:textId="77777777" w:rsidR="00066EC8" w:rsidRDefault="00000000">
    <w:pPr>
      <w:pStyle w:val="Header"/>
    </w:pPr>
    <w:r>
      <w:rPr>
        <w:noProof/>
      </w:rPr>
      <mc:AlternateContent>
        <mc:Choice Requires="wps">
          <w:drawing>
            <wp:anchor distT="0" distB="0" distL="114300" distR="114300" simplePos="0" relativeHeight="251604992" behindDoc="1" locked="0" layoutInCell="0" allowOverlap="1" wp14:anchorId="31C2498C" wp14:editId="058C5CA0">
              <wp:simplePos x="0" y="0"/>
              <wp:positionH relativeFrom="margin">
                <wp:align>center</wp:align>
              </wp:positionH>
              <wp:positionV relativeFrom="margin">
                <wp:align>center</wp:align>
              </wp:positionV>
              <wp:extent cx="5709920" cy="3425825"/>
              <wp:effectExtent l="0" t="0" r="0" b="0"/>
              <wp:wrapNone/>
              <wp:docPr id="20" name="_x0000_s1029"/>
              <wp:cNvGraphicFramePr/>
              <a:graphic xmlns:a="http://schemas.openxmlformats.org/drawingml/2006/main">
                <a:graphicData uri="http://schemas.microsoft.com/office/word/2010/wordprocessingShape">
                  <wps:wsp>
                    <wps:cNvSpPr/>
                    <wps:spPr bwMode="auto">
                      <a:xfrm rot="18900000">
                        <a:off x="0" y="0"/>
                        <a:ext cx="5709920" cy="3425825"/>
                      </a:xfrm>
                      <a:prstGeom prst="rect">
                        <a:avLst/>
                      </a:prstGeom>
                      <a:noFill/>
                      <a:ln>
                        <a:noFill/>
                      </a:ln>
                    </wps:spPr>
                    <wps:txbx>
                      <w:txbxContent>
                        <w:p w14:paraId="11558877" w14:textId="77777777" w:rsidR="00066EC8" w:rsidRDefault="00000000">
                          <w:pPr>
                            <w:jc w:val="cente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pPr>
                          <w: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t>DRAFT</w:t>
                          </w:r>
                        </w:p>
                      </w:txbxContent>
                    </wps:txbx>
                    <wps:bodyPr wrap="square" lIns="0" tIns="0" rIns="0" bIns="0" numCol="1" fromWordArt="1">
                      <a:prstTxWarp prst="textPlain">
                        <a:avLst>
                          <a:gd name="adj" fmla="val 50000"/>
                        </a:avLst>
                      </a:prstTxWarp>
                      <a:normAutofit/>
                    </wps:bodyPr>
                  </wps:wsp>
                </a:graphicData>
              </a:graphic>
            </wp:anchor>
          </w:drawing>
        </mc:Choice>
        <mc:Fallback>
          <w:pict>
            <v:rect w14:anchorId="31C2498C" id="_x0000_s1029" o:spid="_x0000_s1027" style="position:absolute;margin-left:0;margin-top:0;width:449.6pt;height:269.75pt;rotation:-45;z-index:-251711488;visibility:visible;mso-wrap-style:squar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" o:allowincell="f" filled="f" stroked="f">
              <v:textbox inset="0,0,0,0">
                <w:txbxContent>
                  <w:p w14:paraId="11558877" w14:textId="77777777" w:rsidR="00066EC8" w:rsidRDefault="00000000">
                    <w:pPr>
                      <w:jc w:val="cente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pPr>
                    <w: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t>DRAFT</w:t>
                    </w:r>
                  </w:p>
                </w:txbxContent>
              </v:textbox>
              <w10:wrap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22963" w14:textId="77777777" w:rsidR="00066EC8" w:rsidRDefault="00000000">
    <w:pPr>
      <w:pStyle w:val="Header"/>
      <w:tabs>
        <w:tab w:val="right" w:pos="10205"/>
      </w:tabs>
    </w:pPr>
    <w:r>
      <w:rPr>
        <w:noProof/>
        <w:lang w:eastAsia="en-GB"/>
      </w:rPr>
      <mc:AlternateContent>
        <mc:Choice Requires="wpg">
          <w:drawing>
            <wp:anchor distT="0" distB="0" distL="114300" distR="114300" simplePos="0" relativeHeight="251658752" behindDoc="1" locked="0" layoutInCell="1" allowOverlap="1" wp14:anchorId="74CA14A7" wp14:editId="07874328">
              <wp:simplePos x="0" y="0"/>
              <wp:positionH relativeFrom="page">
                <wp:posOffset>6840855</wp:posOffset>
              </wp:positionH>
              <wp:positionV relativeFrom="page">
                <wp:posOffset>0</wp:posOffset>
              </wp:positionV>
              <wp:extent cx="720000" cy="720000"/>
              <wp:effectExtent l="0" t="0" r="4445" b="4445"/>
              <wp:wrapNone/>
              <wp:docPr id="1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logo_suite.png"/>
                      <pic:cNvPicPr>
                        <a:picLocks noChangeAspect="1"/>
                      </pic:cNvPicPr>
                    </pic:nvPicPr>
                    <pic:blipFill rotWithShape="1">
                      <a:blip r:embed="rId1"/>
                      <a:stretch/>
                    </pic:blipFill>
                    <pic:spPr bwMode="auto">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position:absolute;z-index:-251658752;o:allowoverlap:true;o:allowincell:true;mso-position-horizontal-relative:page;margin-left:538.65pt;mso-position-horizontal:absolute;mso-position-vertical-relative:page;margin-top:0.00pt;mso-position-vertical:absolute;width:56.69pt;height:56.69pt;mso-wrap-distance-left:9.00pt;mso-wrap-distance-top:0.00pt;mso-wrap-distance-right:9.00pt;mso-wrap-distance-bottom:0.00pt;z-index:1;" stroked="false">
              <v:imagedata r:id="rId2" o:title=""/>
              <o:lock v:ext="edit" rotation="t"/>
            </v:shape>
          </w:pict>
        </mc:Fallback>
      </mc:AlternateContent>
    </w:r>
    <w:r>
      <w:tab/>
    </w:r>
  </w:p>
  <w:p w14:paraId="7B7A9EB1" w14:textId="77777777" w:rsidR="00066EC8" w:rsidRDefault="00066EC8">
    <w:pPr>
      <w:pStyle w:val="Header"/>
    </w:pPr>
  </w:p>
  <w:p w14:paraId="2A26E383" w14:textId="77777777" w:rsidR="00066EC8" w:rsidRDefault="00066EC8">
    <w:pPr>
      <w:pStyle w:val="Header"/>
    </w:pPr>
  </w:p>
  <w:p w14:paraId="30F2F221" w14:textId="77777777" w:rsidR="00066EC8" w:rsidRDefault="00066EC8">
    <w:pPr>
      <w:pStyle w:val="Header"/>
    </w:pPr>
  </w:p>
  <w:p w14:paraId="733FB826" w14:textId="77777777" w:rsidR="00066EC8" w:rsidRDefault="00066EC8">
    <w:pPr>
      <w:pStyle w:val="Header"/>
    </w:pPr>
  </w:p>
  <w:p w14:paraId="6E8873AD" w14:textId="77777777" w:rsidR="00066EC8" w:rsidRDefault="00000000">
    <w:pPr>
      <w:pStyle w:val="Contents"/>
    </w:pPr>
    <w:r>
      <w:t>DOCUMENT REVISION</w:t>
    </w:r>
  </w:p>
  <w:p w14:paraId="03CAA704" w14:textId="77777777" w:rsidR="00066EC8" w:rsidRDefault="00066EC8">
    <w:pPr>
      <w:pStyle w:val="Header"/>
    </w:pPr>
  </w:p>
  <w:p w14:paraId="1075FEFA" w14:textId="77777777" w:rsidR="00066EC8" w:rsidRDefault="00066EC8">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B00CA" w14:textId="77777777" w:rsidR="00066EC8" w:rsidRDefault="00000000">
    <w:pPr>
      <w:pStyle w:val="Header"/>
    </w:pPr>
    <w:r>
      <w:rPr>
        <w:noProof/>
      </w:rPr>
      <mc:AlternateContent>
        <mc:Choice Requires="wps">
          <w:drawing>
            <wp:anchor distT="0" distB="0" distL="114300" distR="114300" simplePos="0" relativeHeight="251607040" behindDoc="1" locked="0" layoutInCell="0" allowOverlap="1" wp14:anchorId="6B280C00" wp14:editId="7A615E39">
              <wp:simplePos x="0" y="0"/>
              <wp:positionH relativeFrom="margin">
                <wp:align>center</wp:align>
              </wp:positionH>
              <wp:positionV relativeFrom="margin">
                <wp:align>center</wp:align>
              </wp:positionV>
              <wp:extent cx="5709920" cy="3425825"/>
              <wp:effectExtent l="0" t="0" r="0" b="0"/>
              <wp:wrapNone/>
              <wp:docPr id="21" name="_x0000_s1028"/>
              <wp:cNvGraphicFramePr/>
              <a:graphic xmlns:a="http://schemas.openxmlformats.org/drawingml/2006/main">
                <a:graphicData uri="http://schemas.microsoft.com/office/word/2010/wordprocessingShape">
                  <wps:wsp>
                    <wps:cNvSpPr/>
                    <wps:spPr bwMode="auto">
                      <a:xfrm rot="18900000">
                        <a:off x="0" y="0"/>
                        <a:ext cx="5709920" cy="3425825"/>
                      </a:xfrm>
                      <a:prstGeom prst="rect">
                        <a:avLst/>
                      </a:prstGeom>
                      <a:noFill/>
                      <a:ln>
                        <a:noFill/>
                      </a:ln>
                    </wps:spPr>
                    <wps:txbx>
                      <w:txbxContent>
                        <w:p w14:paraId="39AB42A6" w14:textId="77777777" w:rsidR="00066EC8" w:rsidRDefault="00000000">
                          <w:pPr>
                            <w:jc w:val="cente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pPr>
                          <w: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t>DRAFT</w:t>
                          </w:r>
                        </w:p>
                      </w:txbxContent>
                    </wps:txbx>
                    <wps:bodyPr wrap="square" lIns="0" tIns="0" rIns="0" bIns="0" numCol="1" fromWordArt="1">
                      <a:prstTxWarp prst="textPlain">
                        <a:avLst>
                          <a:gd name="adj" fmla="val 50000"/>
                        </a:avLst>
                      </a:prstTxWarp>
                      <a:normAutofit/>
                    </wps:bodyPr>
                  </wps:wsp>
                </a:graphicData>
              </a:graphic>
            </wp:anchor>
          </w:drawing>
        </mc:Choice>
        <mc:Fallback>
          <w:pict>
            <v:rect w14:anchorId="6B280C00" id="_x0000_s1028" o:spid="_x0000_s1028" style="position:absolute;margin-left:0;margin-top:0;width:449.6pt;height:269.75pt;rotation:-45;z-index:-251709440;visibility:visible;mso-wrap-style:squar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" o:allowincell="f" filled="f" stroked="f">
              <v:textbox inset="0,0,0,0">
                <w:txbxContent>
                  <w:p w14:paraId="39AB42A6" w14:textId="77777777" w:rsidR="00066EC8" w:rsidRDefault="00000000">
                    <w:pPr>
                      <w:jc w:val="cente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pPr>
                    <w: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t>DRAFT</w:t>
                    </w:r>
                  </w:p>
                </w:txbxContent>
              </v:textbox>
              <w10:wrap anchorx="margin" anchory="margin"/>
            </v:rect>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890D6" w14:textId="77777777" w:rsidR="00066EC8" w:rsidRDefault="00000000">
    <w:pPr>
      <w:pStyle w:val="Header"/>
    </w:pPr>
    <w:r>
      <w:rPr>
        <w:noProof/>
      </w:rPr>
      <mc:AlternateContent>
        <mc:Choice Requires="wps">
          <w:drawing>
            <wp:anchor distT="0" distB="0" distL="114300" distR="114300" simplePos="0" relativeHeight="251598848" behindDoc="1" locked="0" layoutInCell="0" allowOverlap="1" wp14:anchorId="0468A539" wp14:editId="3D974091">
              <wp:simplePos x="0" y="0"/>
              <wp:positionH relativeFrom="margin">
                <wp:align>center</wp:align>
              </wp:positionH>
              <wp:positionV relativeFrom="margin">
                <wp:align>center</wp:align>
              </wp:positionV>
              <wp:extent cx="5709920" cy="3425825"/>
              <wp:effectExtent l="0" t="0" r="0" b="0"/>
              <wp:wrapNone/>
              <wp:docPr id="23" name="_x0000_s1032"/>
              <wp:cNvGraphicFramePr/>
              <a:graphic xmlns:a="http://schemas.openxmlformats.org/drawingml/2006/main">
                <a:graphicData uri="http://schemas.microsoft.com/office/word/2010/wordprocessingShape">
                  <wps:wsp>
                    <wps:cNvSpPr/>
                    <wps:spPr bwMode="auto">
                      <a:xfrm rot="18900000">
                        <a:off x="0" y="0"/>
                        <a:ext cx="5709920" cy="3425825"/>
                      </a:xfrm>
                      <a:prstGeom prst="rect">
                        <a:avLst/>
                      </a:prstGeom>
                      <a:noFill/>
                      <a:ln>
                        <a:noFill/>
                      </a:ln>
                    </wps:spPr>
                    <wps:txbx>
                      <w:txbxContent>
                        <w:p w14:paraId="0340E766" w14:textId="77777777" w:rsidR="00066EC8" w:rsidRDefault="00000000">
                          <w:pPr>
                            <w:jc w:val="cente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pPr>
                          <w: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t>DRAFT</w:t>
                          </w:r>
                        </w:p>
                      </w:txbxContent>
                    </wps:txbx>
                    <wps:bodyPr wrap="square" lIns="0" tIns="0" rIns="0" bIns="0" numCol="1" fromWordArt="1">
                      <a:prstTxWarp prst="textPlain">
                        <a:avLst>
                          <a:gd name="adj" fmla="val 50000"/>
                        </a:avLst>
                      </a:prstTxWarp>
                      <a:normAutofit/>
                    </wps:bodyPr>
                  </wps:wsp>
                </a:graphicData>
              </a:graphic>
            </wp:anchor>
          </w:drawing>
        </mc:Choice>
        <mc:Fallback>
          <w:pict>
            <v:rect w14:anchorId="0468A539" id="_x0000_s1032" o:spid="_x0000_s1029" style="position:absolute;margin-left:0;margin-top:0;width:449.6pt;height:269.75pt;rotation:-45;z-index:-251717632;visibility:visible;mso-wrap-style:squar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" o:allowincell="f" filled="f" stroked="f">
              <v:textbox inset="0,0,0,0">
                <w:txbxContent>
                  <w:p w14:paraId="0340E766" w14:textId="77777777" w:rsidR="00066EC8" w:rsidRDefault="00000000">
                    <w:pPr>
                      <w:jc w:val="cente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pPr>
                    <w:r>
                      <w:rPr>
                        <w:rFonts w:ascii="Calibri" w:hAnsi="Calibri"/>
                        <w:color w:val="C0C0C0"/>
                        <w:sz w:val="2"/>
                        <w:szCs w:val="2"/>
                        <w14:textOutline w14:w="12700" w14:cap="flat" w14:cmpd="sng" w14:algn="ctr">
                          <w14:noFill/>
                          <w14:prstDash w14:val="solid"/>
                          <w14:bevel/>
                        </w14:textOutline>
                        <w14:textFill>
                          <w14:solidFill>
                            <w14:srgbClr w14:val="C0C0C0">
                              <w14:alpha w14:val="49803"/>
                            </w14:srgbClr>
                          </w14:solidFill>
                        </w14:textFill>
                      </w:rPr>
                      <w:t>DRAFT</w:t>
                    </w:r>
                  </w:p>
                </w:txbxContent>
              </v:textbox>
              <w10:wrap anchorx="margin" anchory="margin"/>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11457" w14:textId="77777777" w:rsidR="00066EC8" w:rsidRDefault="00000000">
    <w:pPr>
      <w:pStyle w:val="Header"/>
    </w:pPr>
    <w:r>
      <w:rPr>
        <w:noProof/>
        <w:lang w:eastAsia="en-GB"/>
      </w:rPr>
      <mc:AlternateContent>
        <mc:Choice Requires="wpg">
          <w:drawing>
            <wp:anchor distT="0" distB="0" distL="114300" distR="114300" simplePos="0" relativeHeight="251653632" behindDoc="1" locked="0" layoutInCell="1" allowOverlap="1" wp14:anchorId="6E94D1BD" wp14:editId="5E3F4269">
              <wp:simplePos x="0" y="0"/>
              <wp:positionH relativeFrom="page">
                <wp:posOffset>6840855</wp:posOffset>
              </wp:positionH>
              <wp:positionV relativeFrom="page">
                <wp:posOffset>0</wp:posOffset>
              </wp:positionV>
              <wp:extent cx="720000" cy="720000"/>
              <wp:effectExtent l="0" t="0" r="4445" b="4445"/>
              <wp:wrapNone/>
              <wp:docPr id="2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ogo_suite.png"/>
                      <pic:cNvPicPr>
                        <a:picLocks noChangeAspect="1"/>
                      </pic:cNvPicPr>
                    </pic:nvPicPr>
                    <pic:blipFill rotWithShape="1">
                      <a:blip r:embed="rId1"/>
                      <a:stretch/>
                    </pic:blipFill>
                    <pic:spPr bwMode="auto">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653632;o:allowoverlap:true;o:allowincell:true;mso-position-horizontal-relative:page;margin-left:538.65pt;mso-position-horizontal:absolute;mso-position-vertical-relative:page;margin-top:0.00pt;mso-position-vertical:absolute;width:56.69pt;height:56.69pt;mso-wrap-distance-left:9.00pt;mso-wrap-distance-top:0.00pt;mso-wrap-distance-right:9.00pt;mso-wrap-distance-bottom:0.00pt;z-index:1;" stroked="false">
              <v:imagedata r:id="rId2" o:title=""/>
              <o:lock v:ext="edit" rotation="t"/>
            </v:shape>
          </w:pict>
        </mc:Fallback>
      </mc:AlternateContent>
    </w:r>
  </w:p>
  <w:p w14:paraId="2966286C" w14:textId="77777777" w:rsidR="00066EC8" w:rsidRDefault="00066EC8">
    <w:pPr>
      <w:pStyle w:val="Header"/>
    </w:pPr>
  </w:p>
  <w:p w14:paraId="4F297067" w14:textId="77777777" w:rsidR="00066EC8" w:rsidRDefault="00066EC8">
    <w:pPr>
      <w:pStyle w:val="Header"/>
    </w:pPr>
  </w:p>
  <w:p w14:paraId="03CA0FF7" w14:textId="77777777" w:rsidR="00066EC8" w:rsidRDefault="00066EC8">
    <w:pPr>
      <w:pStyle w:val="Header"/>
    </w:pPr>
  </w:p>
  <w:p w14:paraId="79D32376" w14:textId="77777777" w:rsidR="00066EC8" w:rsidRDefault="00066EC8">
    <w:pPr>
      <w:pStyle w:val="Header"/>
    </w:pPr>
  </w:p>
  <w:p w14:paraId="34045091" w14:textId="77777777" w:rsidR="00066EC8" w:rsidRDefault="00000000">
    <w:pPr>
      <w:pStyle w:val="Contents"/>
    </w:pPr>
    <w:r>
      <w:t>CONTENTS</w:t>
    </w:r>
  </w:p>
  <w:p w14:paraId="24939754" w14:textId="77777777" w:rsidR="00066EC8" w:rsidRDefault="00066EC8">
    <w:pPr>
      <w:pStyle w:val="Header"/>
      <w:spacing w:line="140" w:lineRule="exact"/>
    </w:pPr>
  </w:p>
  <w:p w14:paraId="4D214463" w14:textId="77777777" w:rsidR="00066EC8" w:rsidRDefault="00066EC8">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B6E7D" w14:textId="77777777" w:rsidR="00066EC8" w:rsidRDefault="00000000">
    <w:pPr>
      <w:pStyle w:val="Header"/>
    </w:pPr>
    <w:r>
      <w:rPr>
        <w:noProof/>
        <w:lang w:eastAsia="en-GB"/>
      </w:rPr>
      <mc:AlternateContent>
        <mc:Choice Requires="wpg">
          <w:drawing>
            <wp:anchor distT="0" distB="0" distL="114300" distR="114300" simplePos="0" relativeHeight="251661824" behindDoc="1" locked="0" layoutInCell="1" allowOverlap="1" wp14:anchorId="3BE38EA3" wp14:editId="23E3CA8C">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logo_suite.png"/>
                      <pic:cNvPicPr>
                        <a:picLocks noChangeAspect="1"/>
                      </pic:cNvPicPr>
                    </pic:nvPicPr>
                    <pic:blipFill rotWithShape="1">
                      <a:blip r:embed="rId1"/>
                      <a:stretch/>
                    </pic:blipFill>
                    <pic:spPr bwMode="auto">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position:absolute;z-index:-251661824;o:allowoverlap:true;o:allowincell:true;mso-position-horizontal-relative:page;margin-left:538.65pt;mso-position-horizontal:absolute;mso-position-vertical-relative:page;margin-top:0.00pt;mso-position-vertical:absolute;width:56.69pt;height:56.69pt;mso-wrap-distance-left:9.00pt;mso-wrap-distance-top:0.00pt;mso-wrap-distance-right:9.00pt;mso-wrap-distance-bottom:0.00pt;z-index:1;" stroked="false">
              <v:imagedata r:id="rId2" o:title=""/>
              <o:lock v:ext="edit" rotation="t"/>
            </v:shape>
          </w:pict>
        </mc:Fallback>
      </mc:AlternateContent>
    </w:r>
  </w:p>
  <w:p w14:paraId="07FAA986" w14:textId="77777777" w:rsidR="00066EC8" w:rsidRDefault="00066EC8">
    <w:pPr>
      <w:pStyle w:val="Header"/>
    </w:pPr>
  </w:p>
  <w:p w14:paraId="364633AD" w14:textId="77777777" w:rsidR="00066EC8" w:rsidRDefault="00066EC8">
    <w:pPr>
      <w:pStyle w:val="Header"/>
    </w:pPr>
  </w:p>
  <w:p w14:paraId="3E393DF4" w14:textId="77777777" w:rsidR="00066EC8" w:rsidRDefault="00066EC8">
    <w:pPr>
      <w:pStyle w:val="Header"/>
    </w:pPr>
  </w:p>
  <w:p w14:paraId="350A85C5" w14:textId="77777777" w:rsidR="00066EC8" w:rsidRDefault="00066EC8">
    <w:pPr>
      <w:pStyle w:val="Header"/>
    </w:pPr>
  </w:p>
  <w:p w14:paraId="6FBA9F05" w14:textId="77777777" w:rsidR="00066EC8" w:rsidRDefault="00000000">
    <w:pPr>
      <w:pStyle w:val="Contents"/>
    </w:pPr>
    <w:r>
      <w:t>CONTENTS</w:t>
    </w:r>
  </w:p>
  <w:p w14:paraId="65737574" w14:textId="77777777" w:rsidR="00066EC8" w:rsidRDefault="00066EC8">
    <w:pPr>
      <w:pStyle w:val="Header"/>
    </w:pPr>
  </w:p>
  <w:p w14:paraId="196DE00C" w14:textId="77777777" w:rsidR="00066EC8" w:rsidRDefault="00066EC8">
    <w:pPr>
      <w:pStyle w:val="Header"/>
      <w:spacing w:line="140" w:lineRule="exact"/>
    </w:pPr>
  </w:p>
  <w:p w14:paraId="2738FE55" w14:textId="77777777" w:rsidR="00066EC8" w:rsidRDefault="00000000">
    <w:pPr>
      <w:pStyle w:val="Header"/>
    </w:pPr>
    <w:r>
      <w:rPr>
        <w:noProof/>
        <w:lang w:eastAsia="en-GB"/>
      </w:rPr>
      <mc:AlternateContent>
        <mc:Choice Requires="wpg">
          <w:drawing>
            <wp:anchor distT="0" distB="0" distL="114300" distR="114300" simplePos="0" relativeHeight="251657728" behindDoc="1" locked="0" layoutInCell="1" allowOverlap="1" wp14:anchorId="74DE33B3" wp14:editId="0B7247E0">
              <wp:simplePos x="0" y="0"/>
              <wp:positionH relativeFrom="page">
                <wp:posOffset>6827653</wp:posOffset>
              </wp:positionH>
              <wp:positionV relativeFrom="page">
                <wp:posOffset>0</wp:posOffset>
              </wp:positionV>
              <wp:extent cx="720000" cy="720000"/>
              <wp:effectExtent l="0" t="0" r="4445" b="4445"/>
              <wp:wrapNone/>
              <wp:docPr id="2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logo_suite.png"/>
                      <pic:cNvPicPr>
                        <a:picLocks noChangeAspect="1"/>
                      </pic:cNvPicPr>
                    </pic:nvPicPr>
                    <pic:blipFill rotWithShape="1">
                      <a:blip r:embed="rId1"/>
                      <a:stretch/>
                    </pic:blipFill>
                    <pic:spPr bwMode="auto">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position:absolute;z-index:-251657728;o:allowoverlap:true;o:allowincell:true;mso-position-horizontal-relative:page;margin-left:537.61pt;mso-position-horizontal:absolute;mso-position-vertical-relative:page;margin-top:0.00pt;mso-position-vertical:absolute;width:56.69pt;height:56.69pt;mso-wrap-distance-left:9.00pt;mso-wrap-distance-top:0.00pt;mso-wrap-distance-right:9.00pt;mso-wrap-distance-bottom:0.00pt;z-index:1;" stroked="false">
              <v:imagedata r:id="rId2" o:title=""/>
              <o:lock v:ext="edit" rotation="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multilevel"/>
    <w:tmpl w:val="78608D1C"/>
    <w:lvl w:ilvl="0">
      <w:start w:val="1"/>
      <w:numFmt w:val="decimal"/>
      <w:pStyle w:val="ListNumber"/>
      <w:lvlText w:val="%1."/>
      <w:lvlJc w:val="left"/>
      <w:pPr>
        <w:tabs>
          <w:tab w:val="num" w:pos="360"/>
        </w:tabs>
        <w:ind w:left="360" w:hanging="360"/>
      </w:p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15:restartNumberingAfterBreak="0">
    <w:nsid w:val="00067ACA"/>
    <w:multiLevelType w:val="multilevel"/>
    <w:tmpl w:val="4E20AFE8"/>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2" w15:restartNumberingAfterBreak="0">
    <w:nsid w:val="0285D678"/>
    <w:multiLevelType w:val="multilevel"/>
    <w:tmpl w:val="2FB0B76C"/>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3" w15:restartNumberingAfterBreak="0">
    <w:nsid w:val="02FC6C59"/>
    <w:multiLevelType w:val="multilevel"/>
    <w:tmpl w:val="571AE886"/>
    <w:lvl w:ilvl="0">
      <w:numFmt w:val="bullet"/>
      <w:lvlText w:val="•"/>
      <w:lvlJc w:val="left"/>
      <w:pPr>
        <w:ind w:left="720" w:hanging="480"/>
      </w:pPr>
      <w:rPr>
        <w:color w:val="00558C" w:themeColor="accent1"/>
      </w:rPr>
    </w:lvl>
    <w:lvl w:ilvl="1">
      <w:start w:val="1"/>
      <w:numFmt w:val="bullet"/>
      <w:lvlText w:val=""/>
      <w:lvlJc w:val="left"/>
      <w:pPr>
        <w:ind w:left="1320" w:hanging="360"/>
      </w:pPr>
      <w:rPr>
        <w:rFonts w:ascii="Symbol" w:hAnsi="Symbol" w:hint="default"/>
        <w:color w:val="00558C" w:themeColor="accent1"/>
      </w:rPr>
    </w:lvl>
    <w:lvl w:ilvl="2">
      <w:numFmt w:val="bullet"/>
      <w:lvlText w:val="•"/>
      <w:lvlJc w:val="left"/>
      <w:pPr>
        <w:ind w:left="2160" w:hanging="480"/>
      </w:pPr>
      <w:rPr>
        <w:color w:val="C2CEE7" w:themeColor="accent5" w:themeTint="66"/>
      </w:r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4" w15:restartNumberingAfterBreak="0">
    <w:nsid w:val="0324C222"/>
    <w:multiLevelType w:val="multilevel"/>
    <w:tmpl w:val="285833A6"/>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5" w15:restartNumberingAfterBreak="0">
    <w:nsid w:val="03F4A7A0"/>
    <w:multiLevelType w:val="multilevel"/>
    <w:tmpl w:val="689E0F80"/>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6" w15:restartNumberingAfterBreak="0">
    <w:nsid w:val="133478BF"/>
    <w:multiLevelType w:val="multilevel"/>
    <w:tmpl w:val="251023FC"/>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4F700B"/>
    <w:multiLevelType w:val="multilevel"/>
    <w:tmpl w:val="785611FE"/>
    <w:lvl w:ilvl="0">
      <w:start w:val="1"/>
      <w:numFmt w:val="upperLetter"/>
      <w:pStyle w:val="Annex"/>
      <w:lvlText w:val="ANNEX %1"/>
      <w:lvlJc w:val="left"/>
      <w:pPr>
        <w:ind w:left="851" w:hanging="851"/>
      </w:pPr>
      <w:rPr>
        <w:rFonts w:asciiTheme="minorHAnsi" w:hAnsiTheme="minorHAnsi" w:hint="default"/>
        <w:b/>
        <w:i w:val="0"/>
        <w:caps/>
        <w:color w:val="00558C"/>
        <w:sz w:val="28"/>
        <w:u w:val="none"/>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8" w15:restartNumberingAfterBreak="0">
    <w:nsid w:val="16102258"/>
    <w:multiLevelType w:val="multilevel"/>
    <w:tmpl w:val="B3DEE566"/>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9" w15:restartNumberingAfterBreak="0">
    <w:nsid w:val="19A1740F"/>
    <w:multiLevelType w:val="multilevel"/>
    <w:tmpl w:val="22C0910A"/>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vanish w:val="0"/>
        <w:color w:val="00558C"/>
        <w:spacing w:val="0"/>
        <w:position w:val="0"/>
        <w:sz w:val="28"/>
        <w:u w:val="none"/>
        <w:vertAlign w:val="baseline"/>
        <w14:textOutline w14:w="0" w14:cap="rnd" w14:cmpd="sng" w14:algn="ctr">
          <w14:noFill/>
          <w14:prstDash w14:val="solid"/>
          <w14:bevel/>
        </w14:textOutline>
        <w14:ligatures w14:val="none"/>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E7E01D9"/>
    <w:multiLevelType w:val="multilevel"/>
    <w:tmpl w:val="36526F4E"/>
    <w:lvl w:ilvl="0">
      <w:start w:val="1"/>
      <w:numFmt w:val="decimal"/>
      <w:pStyle w:val="Reference"/>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34245C5"/>
    <w:multiLevelType w:val="multilevel"/>
    <w:tmpl w:val="A622F3E6"/>
    <w:lvl w:ilvl="0">
      <w:start w:val="1"/>
      <w:numFmt w:val="decimal"/>
      <w:pStyle w:val="Imag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54A4879"/>
    <w:multiLevelType w:val="multilevel"/>
    <w:tmpl w:val="F82C439C"/>
    <w:styleLink w:val="ArticleSection"/>
    <w:lvl w:ilvl="0">
      <w:start w:val="1"/>
      <w:numFmt w:val="upperRoman"/>
      <w:pStyle w:val="ArticleSectio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15:restartNumberingAfterBreak="0">
    <w:nsid w:val="28336371"/>
    <w:multiLevelType w:val="multilevel"/>
    <w:tmpl w:val="F40AD23A"/>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A4E1CF1"/>
    <w:multiLevelType w:val="multilevel"/>
    <w:tmpl w:val="DCD8D0F0"/>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BDB2C74"/>
    <w:multiLevelType w:val="multilevel"/>
    <w:tmpl w:val="D2047060"/>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2547343"/>
    <w:multiLevelType w:val="multilevel"/>
    <w:tmpl w:val="895ABE42"/>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42E13C5"/>
    <w:multiLevelType w:val="multilevel"/>
    <w:tmpl w:val="FB42DB18"/>
    <w:styleLink w:val="IALANumberedList"/>
    <w:lvl w:ilvl="0">
      <w:start w:val="1"/>
      <w:numFmt w:val="decimal"/>
      <w:pStyle w:val="IALANumberedList"/>
      <w:lvlText w:val="%1"/>
      <w:lvlJc w:val="left"/>
      <w:pPr>
        <w:ind w:left="720" w:hanging="480"/>
      </w:pPr>
      <w:rPr>
        <w:rFonts w:hint="default"/>
      </w:rPr>
    </w:lvl>
    <w:lvl w:ilvl="1">
      <w:start w:val="1"/>
      <w:numFmt w:val="lowerLetter"/>
      <w:lvlText w:val="%2"/>
      <w:lvlJc w:val="left"/>
      <w:pPr>
        <w:ind w:left="1440" w:hanging="480"/>
      </w:pPr>
      <w:rPr>
        <w:rFonts w:hint="default"/>
      </w:rPr>
    </w:lvl>
    <w:lvl w:ilvl="2">
      <w:start w:val="1"/>
      <w:numFmt w:val="lowerRoman"/>
      <w:lvlText w:val="%3"/>
      <w:lvlJc w:val="left"/>
      <w:pPr>
        <w:ind w:left="2160" w:hanging="480"/>
      </w:pPr>
      <w:rPr>
        <w:rFonts w:hint="default"/>
      </w:rPr>
    </w:lvl>
    <w:lvl w:ilvl="3">
      <w:start w:val="1"/>
      <w:numFmt w:val="decimal"/>
      <w:lvlText w:val="%4."/>
      <w:lvlJc w:val="left"/>
      <w:pPr>
        <w:ind w:left="2880" w:hanging="480"/>
      </w:pPr>
      <w:rPr>
        <w:rFonts w:hint="default"/>
      </w:rPr>
    </w:lvl>
    <w:lvl w:ilvl="4">
      <w:start w:val="1"/>
      <w:numFmt w:val="decimal"/>
      <w:lvlText w:val="%5."/>
      <w:lvlJc w:val="left"/>
      <w:pPr>
        <w:ind w:left="3600" w:hanging="480"/>
      </w:pPr>
      <w:rPr>
        <w:rFonts w:hint="default"/>
      </w:rPr>
    </w:lvl>
    <w:lvl w:ilvl="5">
      <w:start w:val="1"/>
      <w:numFmt w:val="decimal"/>
      <w:lvlText w:val="%6."/>
      <w:lvlJc w:val="left"/>
      <w:pPr>
        <w:ind w:left="4320" w:hanging="480"/>
      </w:pPr>
      <w:rPr>
        <w:rFonts w:hint="default"/>
      </w:rPr>
    </w:lvl>
    <w:lvl w:ilvl="6">
      <w:start w:val="1"/>
      <w:numFmt w:val="decimal"/>
      <w:lvlText w:val="%7."/>
      <w:lvlJc w:val="left"/>
      <w:pPr>
        <w:ind w:left="5040" w:hanging="480"/>
      </w:pPr>
      <w:rPr>
        <w:rFonts w:hint="default"/>
      </w:rPr>
    </w:lvl>
    <w:lvl w:ilvl="7">
      <w:start w:val="1"/>
      <w:numFmt w:val="decimal"/>
      <w:lvlText w:val="%8."/>
      <w:lvlJc w:val="left"/>
      <w:pPr>
        <w:ind w:left="5760" w:hanging="480"/>
      </w:pPr>
      <w:rPr>
        <w:rFonts w:hint="default"/>
      </w:rPr>
    </w:lvl>
    <w:lvl w:ilvl="8">
      <w:start w:val="1"/>
      <w:numFmt w:val="decimal"/>
      <w:lvlText w:val="%9."/>
      <w:lvlJc w:val="left"/>
      <w:pPr>
        <w:ind w:left="6480" w:hanging="480"/>
      </w:pPr>
      <w:rPr>
        <w:rFonts w:hint="default"/>
      </w:rPr>
    </w:lvl>
  </w:abstractNum>
  <w:abstractNum w:abstractNumId="18" w15:restartNumberingAfterBreak="0">
    <w:nsid w:val="47710168"/>
    <w:multiLevelType w:val="multilevel"/>
    <w:tmpl w:val="C7CA3F44"/>
    <w:styleLink w:val="IALABulletList"/>
    <w:lvl w:ilvl="0">
      <w:start w:val="1"/>
      <w:numFmt w:val="bullet"/>
      <w:pStyle w:val="IALABulletList"/>
      <w:lvlText w:val=""/>
      <w:lvlJc w:val="left"/>
      <w:pPr>
        <w:ind w:left="720" w:hanging="480"/>
      </w:pPr>
      <w:rPr>
        <w:rFonts w:ascii="Symbol" w:hAnsi="Symbol" w:hint="default"/>
        <w:color w:val="3E60A1" w:themeColor="accent5" w:themeShade="BF"/>
      </w:rPr>
    </w:lvl>
    <w:lvl w:ilvl="1">
      <w:start w:val="1"/>
      <w:numFmt w:val="bullet"/>
      <w:lvlText w:val=""/>
      <w:lvlJc w:val="left"/>
      <w:pPr>
        <w:ind w:left="1440" w:hanging="480"/>
      </w:pPr>
      <w:rPr>
        <w:rFonts w:ascii="Symbol" w:hAnsi="Symbol" w:hint="default"/>
        <w:color w:val="A3B6DB" w:themeColor="accent5" w:themeTint="99"/>
      </w:rPr>
    </w:lvl>
    <w:lvl w:ilvl="2">
      <w:start w:val="1"/>
      <w:numFmt w:val="bullet"/>
      <w:lvlText w:val="o"/>
      <w:lvlJc w:val="left"/>
      <w:pPr>
        <w:ind w:left="2160" w:hanging="480"/>
      </w:pPr>
      <w:rPr>
        <w:rFonts w:ascii="Courier New" w:hAnsi="Courier New" w:cs="Courier New" w:hint="default"/>
      </w:r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9" w15:restartNumberingAfterBreak="0">
    <w:nsid w:val="48D554E7"/>
    <w:multiLevelType w:val="multilevel"/>
    <w:tmpl w:val="83F4BA70"/>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EB057A3"/>
    <w:multiLevelType w:val="multilevel"/>
    <w:tmpl w:val="C2360E36"/>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67AB4D84"/>
    <w:multiLevelType w:val="multilevel"/>
    <w:tmpl w:val="C35C3586"/>
    <w:lvl w:ilvl="0">
      <w:start w:val="1"/>
      <w:numFmt w:val="decimal"/>
      <w:pStyle w:val="Heading1"/>
      <w:lvlText w:val="%1."/>
      <w:lvlJc w:val="left"/>
      <w:pPr>
        <w:tabs>
          <w:tab w:val="num" w:pos="0"/>
        </w:tabs>
        <w:ind w:left="709" w:hanging="709"/>
      </w:pPr>
      <w:rPr>
        <w:rFonts w:asciiTheme="minorHAnsi" w:hAnsiTheme="minorHAnsi" w:hint="default"/>
        <w:b/>
        <w:i w:val="0"/>
        <w:color w:val="00558C" w:themeColor="accent1"/>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themeColor="accent1"/>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themeColor="accent1"/>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themeColor="accent1"/>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6C9C62AB"/>
    <w:multiLevelType w:val="multilevel"/>
    <w:tmpl w:val="2D009EFE"/>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3" w15:restartNumberingAfterBreak="0">
    <w:nsid w:val="76D64DA6"/>
    <w:multiLevelType w:val="multilevel"/>
    <w:tmpl w:val="7584C9F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7B65365"/>
    <w:multiLevelType w:val="multilevel"/>
    <w:tmpl w:val="4B98653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7BB11B89"/>
    <w:multiLevelType w:val="multilevel"/>
    <w:tmpl w:val="5FCEC238"/>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FB472BF"/>
    <w:multiLevelType w:val="multilevel"/>
    <w:tmpl w:val="D6368CF6"/>
    <w:lvl w:ilvl="0">
      <w:start w:val="1"/>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61348397">
    <w:abstractNumId w:val="15"/>
  </w:num>
  <w:num w:numId="2" w16cid:durableId="684669839">
    <w:abstractNumId w:val="7"/>
  </w:num>
  <w:num w:numId="3" w16cid:durableId="50226917">
    <w:abstractNumId w:val="14"/>
  </w:num>
  <w:num w:numId="4" w16cid:durableId="1995721243">
    <w:abstractNumId w:val="9"/>
  </w:num>
  <w:num w:numId="5" w16cid:durableId="1236627283">
    <w:abstractNumId w:val="12"/>
  </w:num>
  <w:num w:numId="6" w16cid:durableId="824396746">
    <w:abstractNumId w:val="19"/>
  </w:num>
  <w:num w:numId="7" w16cid:durableId="1909654751">
    <w:abstractNumId w:val="25"/>
  </w:num>
  <w:num w:numId="8" w16cid:durableId="412900164">
    <w:abstractNumId w:val="23"/>
  </w:num>
  <w:num w:numId="9" w16cid:durableId="820584055">
    <w:abstractNumId w:val="20"/>
  </w:num>
  <w:num w:numId="10" w16cid:durableId="1153719340">
    <w:abstractNumId w:val="16"/>
  </w:num>
  <w:num w:numId="11" w16cid:durableId="2058505553">
    <w:abstractNumId w:val="21"/>
  </w:num>
  <w:num w:numId="12" w16cid:durableId="1159730740">
    <w:abstractNumId w:val="11"/>
  </w:num>
  <w:num w:numId="13" w16cid:durableId="695696600">
    <w:abstractNumId w:val="6"/>
  </w:num>
  <w:num w:numId="14" w16cid:durableId="1785271986">
    <w:abstractNumId w:val="24"/>
  </w:num>
  <w:num w:numId="15" w16cid:durableId="1203787440">
    <w:abstractNumId w:val="22"/>
  </w:num>
  <w:num w:numId="16" w16cid:durableId="893853413">
    <w:abstractNumId w:val="0"/>
  </w:num>
  <w:num w:numId="17" w16cid:durableId="349650172">
    <w:abstractNumId w:val="10"/>
  </w:num>
  <w:num w:numId="18" w16cid:durableId="1165901816">
    <w:abstractNumId w:val="8"/>
  </w:num>
  <w:num w:numId="19" w16cid:durableId="1881160812">
    <w:abstractNumId w:val="13"/>
  </w:num>
  <w:num w:numId="20" w16cid:durableId="1989941821">
    <w:abstractNumId w:val="18"/>
  </w:num>
  <w:num w:numId="21" w16cid:durableId="237639345">
    <w:abstractNumId w:val="17"/>
  </w:num>
  <w:num w:numId="22" w16cid:durableId="1947730174">
    <w:abstractNumId w:val="3"/>
  </w:num>
  <w:num w:numId="23" w16cid:durableId="1716807486">
    <w:abstractNumId w:val="3"/>
  </w:num>
  <w:num w:numId="24" w16cid:durableId="1882597164">
    <w:abstractNumId w:val="11"/>
    <w:lvlOverride w:ilvl="0">
      <w:startOverride w:val="1"/>
    </w:lvlOverride>
  </w:num>
  <w:num w:numId="25" w16cid:durableId="19978309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890509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180000">
    <w:abstractNumId w:val="8"/>
    <w:lvlOverride w:ilvl="0">
      <w:startOverride w:val="1"/>
    </w:lvlOverride>
  </w:num>
  <w:num w:numId="28" w16cid:durableId="1283268589">
    <w:abstractNumId w:val="3"/>
  </w:num>
  <w:num w:numId="29" w16cid:durableId="2173282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811483013">
    <w:abstractNumId w:val="3"/>
  </w:num>
  <w:num w:numId="31" w16cid:durableId="1559705638">
    <w:abstractNumId w:val="3"/>
  </w:num>
  <w:num w:numId="32" w16cid:durableId="190941350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8837848">
    <w:abstractNumId w:val="3"/>
  </w:num>
  <w:num w:numId="34" w16cid:durableId="1303923328">
    <w:abstractNumId w:val="3"/>
  </w:num>
  <w:num w:numId="35" w16cid:durableId="2089768509">
    <w:abstractNumId w:val="3"/>
  </w:num>
  <w:num w:numId="36" w16cid:durableId="5206979">
    <w:abstractNumId w:val="3"/>
  </w:num>
  <w:num w:numId="37" w16cid:durableId="888763247">
    <w:abstractNumId w:val="3"/>
  </w:num>
  <w:num w:numId="38" w16cid:durableId="744763817">
    <w:abstractNumId w:val="3"/>
  </w:num>
  <w:num w:numId="39" w16cid:durableId="619995902">
    <w:abstractNumId w:val="3"/>
  </w:num>
  <w:num w:numId="40" w16cid:durableId="1199200528">
    <w:abstractNumId w:val="3"/>
  </w:num>
  <w:num w:numId="41" w16cid:durableId="2086875292">
    <w:abstractNumId w:val="3"/>
  </w:num>
  <w:num w:numId="42" w16cid:durableId="1692367988">
    <w:abstractNumId w:val="3"/>
  </w:num>
  <w:num w:numId="43" w16cid:durableId="1394816791">
    <w:abstractNumId w:val="3"/>
  </w:num>
  <w:num w:numId="44" w16cid:durableId="45483180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9616129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0724641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1905510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32809617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928709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07299760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99780794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52837197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94935563">
    <w:abstractNumId w:val="3"/>
  </w:num>
  <w:num w:numId="54" w16cid:durableId="154213420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6319900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19233801">
    <w:abstractNumId w:val="3"/>
  </w:num>
  <w:num w:numId="57" w16cid:durableId="1965846942">
    <w:abstractNumId w:val="3"/>
  </w:num>
  <w:num w:numId="58" w16cid:durableId="241305306">
    <w:abstractNumId w:val="3"/>
  </w:num>
  <w:num w:numId="59" w16cid:durableId="176894886">
    <w:abstractNumId w:val="3"/>
  </w:num>
  <w:num w:numId="60" w16cid:durableId="129586475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2038895352">
    <w:abstractNumId w:val="4"/>
  </w:num>
  <w:num w:numId="62" w16cid:durableId="951741724">
    <w:abstractNumId w:val="3"/>
  </w:num>
  <w:num w:numId="63" w16cid:durableId="1538930653">
    <w:abstractNumId w:val="3"/>
  </w:num>
  <w:num w:numId="64" w16cid:durableId="1290547657">
    <w:abstractNumId w:val="3"/>
  </w:num>
  <w:num w:numId="65" w16cid:durableId="840849707">
    <w:abstractNumId w:val="2"/>
  </w:num>
  <w:num w:numId="66" w16cid:durableId="1290011078">
    <w:abstractNumId w:val="2"/>
  </w:num>
  <w:num w:numId="67" w16cid:durableId="218321252">
    <w:abstractNumId w:val="2"/>
  </w:num>
  <w:num w:numId="68" w16cid:durableId="700055588">
    <w:abstractNumId w:val="2"/>
  </w:num>
  <w:num w:numId="69" w16cid:durableId="314073315">
    <w:abstractNumId w:val="2"/>
  </w:num>
  <w:num w:numId="70" w16cid:durableId="1378435023">
    <w:abstractNumId w:val="8"/>
    <w:lvlOverride w:ilvl="0">
      <w:startOverride w:val="1"/>
    </w:lvlOverride>
  </w:num>
  <w:num w:numId="71" w16cid:durableId="1318873782">
    <w:abstractNumId w:val="11"/>
    <w:lvlOverride w:ilvl="0">
      <w:startOverride w:val="1"/>
    </w:lvlOverride>
  </w:num>
  <w:num w:numId="72" w16cid:durableId="200057817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4928677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286747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21184010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0682620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07616739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66424210">
    <w:abstractNumId w:val="2"/>
  </w:num>
  <w:num w:numId="79" w16cid:durableId="2109765963">
    <w:abstractNumId w:val="2"/>
  </w:num>
  <w:num w:numId="80" w16cid:durableId="420176991">
    <w:abstractNumId w:val="2"/>
  </w:num>
  <w:num w:numId="81" w16cid:durableId="1978486649">
    <w:abstractNumId w:val="2"/>
  </w:num>
  <w:num w:numId="82" w16cid:durableId="2102605967">
    <w:abstractNumId w:val="2"/>
  </w:num>
  <w:num w:numId="83" w16cid:durableId="1413889798">
    <w:abstractNumId w:val="2"/>
  </w:num>
  <w:num w:numId="84" w16cid:durableId="1068383916">
    <w:abstractNumId w:val="2"/>
  </w:num>
  <w:num w:numId="85" w16cid:durableId="9378342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07828743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EC8"/>
    <w:rsid w:val="00066EC8"/>
    <w:rsid w:val="00250413"/>
    <w:rsid w:val="002C6C70"/>
    <w:rsid w:val="005D48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AE4EEB"/>
  <w15:docId w15:val="{14F3FCA5-6B1F-4FBD-8D67-927D7A58A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spacing w:after="120" w:line="216" w:lineRule="atLeast"/>
    </w:pPr>
    <w:rPr>
      <w:lang w:val="en-GB"/>
    </w:rPr>
  </w:style>
  <w:style w:type="paragraph" w:styleId="Heading1">
    <w:name w:val="heading 1"/>
    <w:next w:val="Heading1separationline"/>
    <w:link w:val="Heading1Char"/>
    <w:qFormat/>
    <w:pPr>
      <w:keepNext/>
      <w:keepLines/>
      <w:numPr>
        <w:numId w:val="11"/>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Heading2separationline"/>
    <w:link w:val="Heading2Char"/>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outlineLvl w:val="4"/>
    </w:pPr>
    <w:rPr>
      <w:b w:val="0"/>
    </w:rPr>
  </w:style>
  <w:style w:type="paragraph" w:styleId="Heading6">
    <w:name w:val="heading 6"/>
    <w:basedOn w:val="Normal"/>
    <w:next w:val="Normal"/>
    <w:link w:val="Heading6Char"/>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69C3FF" w:themeColor="accent1" w:themeTint="67"/>
        <w:left w:val="single" w:sz="4" w:space="0" w:color="69C3FF" w:themeColor="accent1" w:themeTint="67"/>
        <w:bottom w:val="single" w:sz="4" w:space="0" w:color="69C3FF" w:themeColor="accent1" w:themeTint="67"/>
        <w:right w:val="single" w:sz="4" w:space="0" w:color="69C3FF" w:themeColor="accent1" w:themeTint="67"/>
        <w:insideH w:val="single" w:sz="4" w:space="0" w:color="69C3FF" w:themeColor="accent1" w:themeTint="67"/>
        <w:insideV w:val="single" w:sz="4" w:space="0" w:color="69C3FF" w:themeColor="accent1" w:themeTint="67"/>
      </w:tblBorders>
    </w:tblPr>
    <w:tblStylePr w:type="firstRow">
      <w:rPr>
        <w:b/>
        <w:color w:val="404040"/>
      </w:rPr>
      <w:tblPr/>
      <w:tcPr>
        <w:tcBorders>
          <w:bottom w:val="single" w:sz="12" w:space="0" w:color="26A9FF"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69C3FF" w:themeColor="accent1" w:themeTint="67"/>
          <w:left w:val="single" w:sz="4" w:space="0" w:color="69C3FF" w:themeColor="accent1" w:themeTint="67"/>
          <w:bottom w:val="single" w:sz="4" w:space="0" w:color="69C3FF" w:themeColor="accent1" w:themeTint="67"/>
          <w:right w:val="single" w:sz="4" w:space="0" w:color="69C3FF"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8CDCFF" w:themeColor="accent2" w:themeTint="67"/>
        <w:left w:val="single" w:sz="4" w:space="0" w:color="8CDCFF" w:themeColor="accent2" w:themeTint="67"/>
        <w:bottom w:val="single" w:sz="4" w:space="0" w:color="8CDCFF" w:themeColor="accent2" w:themeTint="67"/>
        <w:right w:val="single" w:sz="4" w:space="0" w:color="8CDCFF" w:themeColor="accent2" w:themeTint="67"/>
        <w:insideH w:val="single" w:sz="4" w:space="0" w:color="8CDCFF" w:themeColor="accent2" w:themeTint="67"/>
        <w:insideV w:val="single" w:sz="4" w:space="0" w:color="8CDCFF" w:themeColor="accent2" w:themeTint="67"/>
      </w:tblBorders>
    </w:tblPr>
    <w:tblStylePr w:type="firstRow">
      <w:rPr>
        <w:b/>
        <w:color w:val="404040"/>
      </w:rPr>
      <w:tblPr/>
      <w:tcPr>
        <w:tcBorders>
          <w:bottom w:val="single" w:sz="12" w:space="0" w:color="59CCFF"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CDCFF" w:themeColor="accent2" w:themeTint="67"/>
          <w:left w:val="single" w:sz="4" w:space="0" w:color="8CDCFF" w:themeColor="accent2" w:themeTint="67"/>
          <w:bottom w:val="single" w:sz="4" w:space="0" w:color="8CDCFF" w:themeColor="accent2" w:themeTint="67"/>
          <w:right w:val="single" w:sz="4" w:space="0" w:color="8CDCFF"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78FFF9" w:themeColor="accent3" w:themeTint="67"/>
        <w:left w:val="single" w:sz="4" w:space="0" w:color="78FFF9" w:themeColor="accent3" w:themeTint="67"/>
        <w:bottom w:val="single" w:sz="4" w:space="0" w:color="78FFF9" w:themeColor="accent3" w:themeTint="67"/>
        <w:right w:val="single" w:sz="4" w:space="0" w:color="78FFF9" w:themeColor="accent3" w:themeTint="67"/>
        <w:insideH w:val="single" w:sz="4" w:space="0" w:color="78FFF9" w:themeColor="accent3" w:themeTint="67"/>
        <w:insideV w:val="single" w:sz="4" w:space="0" w:color="78FFF9" w:themeColor="accent3" w:themeTint="67"/>
      </w:tblBorders>
    </w:tblPr>
    <w:tblStylePr w:type="firstRow">
      <w:rPr>
        <w:b/>
        <w:color w:val="404040"/>
      </w:rPr>
      <w:tblPr/>
      <w:tcPr>
        <w:tcBorders>
          <w:bottom w:val="single" w:sz="12" w:space="0" w:color="3BFFF6"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78FFF9" w:themeColor="accent3" w:themeTint="67"/>
          <w:left w:val="single" w:sz="4" w:space="0" w:color="78FFF9" w:themeColor="accent3" w:themeTint="67"/>
          <w:bottom w:val="single" w:sz="4" w:space="0" w:color="78FFF9" w:themeColor="accent3" w:themeTint="67"/>
          <w:right w:val="single" w:sz="4" w:space="0" w:color="78FFF9"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85F3FF" w:themeColor="accent4" w:themeTint="67"/>
        <w:left w:val="single" w:sz="4" w:space="0" w:color="85F3FF" w:themeColor="accent4" w:themeTint="67"/>
        <w:bottom w:val="single" w:sz="4" w:space="0" w:color="85F3FF" w:themeColor="accent4" w:themeTint="67"/>
        <w:right w:val="single" w:sz="4" w:space="0" w:color="85F3FF" w:themeColor="accent4" w:themeTint="67"/>
        <w:insideH w:val="single" w:sz="4" w:space="0" w:color="85F3FF" w:themeColor="accent4" w:themeTint="67"/>
        <w:insideV w:val="single" w:sz="4" w:space="0" w:color="85F3FF" w:themeColor="accent4" w:themeTint="67"/>
      </w:tblBorders>
    </w:tblPr>
    <w:tblStylePr w:type="firstRow">
      <w:rPr>
        <w:b/>
        <w:color w:val="404040"/>
      </w:rPr>
      <w:tblPr/>
      <w:tcPr>
        <w:tcBorders>
          <w:bottom w:val="single" w:sz="12" w:space="0" w:color="4EEDFF"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5F3FF" w:themeColor="accent4" w:themeTint="67"/>
          <w:left w:val="single" w:sz="4" w:space="0" w:color="85F3FF" w:themeColor="accent4" w:themeTint="67"/>
          <w:bottom w:val="single" w:sz="4" w:space="0" w:color="85F3FF" w:themeColor="accent4" w:themeTint="67"/>
          <w:right w:val="single" w:sz="4" w:space="0" w:color="85F3FF"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C1CEE7" w:themeColor="accent5" w:themeTint="67"/>
        <w:left w:val="single" w:sz="4" w:space="0" w:color="C1CEE7" w:themeColor="accent5" w:themeTint="67"/>
        <w:bottom w:val="single" w:sz="4" w:space="0" w:color="C1CEE7" w:themeColor="accent5" w:themeTint="67"/>
        <w:right w:val="single" w:sz="4" w:space="0" w:color="C1CEE7" w:themeColor="accent5" w:themeTint="67"/>
        <w:insideH w:val="single" w:sz="4" w:space="0" w:color="C1CEE7" w:themeColor="accent5" w:themeTint="67"/>
        <w:insideV w:val="single" w:sz="4" w:space="0" w:color="C1CEE7" w:themeColor="accent5" w:themeTint="67"/>
      </w:tblBorders>
    </w:tblPr>
    <w:tblStylePr w:type="firstRow">
      <w:rPr>
        <w:b/>
        <w:color w:val="404040"/>
      </w:rPr>
      <w:tblPr/>
      <w:tcPr>
        <w:tcBorders>
          <w:bottom w:val="single" w:sz="12" w:space="0" w:color="A6B8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1CEE7" w:themeColor="accent5" w:themeTint="67"/>
          <w:left w:val="single" w:sz="4" w:space="0" w:color="C1CEE7" w:themeColor="accent5" w:themeTint="67"/>
          <w:bottom w:val="single" w:sz="4" w:space="0" w:color="C1CEE7" w:themeColor="accent5" w:themeTint="67"/>
          <w:right w:val="single" w:sz="4" w:space="0" w:color="C1CEE7"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D8B5D8" w:themeColor="accent6" w:themeTint="67"/>
        <w:left w:val="single" w:sz="4" w:space="0" w:color="D8B5D8" w:themeColor="accent6" w:themeTint="67"/>
        <w:bottom w:val="single" w:sz="4" w:space="0" w:color="D8B5D8" w:themeColor="accent6" w:themeTint="67"/>
        <w:right w:val="single" w:sz="4" w:space="0" w:color="D8B5D8" w:themeColor="accent6" w:themeTint="67"/>
        <w:insideH w:val="single" w:sz="4" w:space="0" w:color="D8B5D8" w:themeColor="accent6" w:themeTint="67"/>
        <w:insideV w:val="single" w:sz="4" w:space="0" w:color="D8B5D8" w:themeColor="accent6" w:themeTint="67"/>
      </w:tblBorders>
    </w:tblPr>
    <w:tblStylePr w:type="firstRow">
      <w:rPr>
        <w:b/>
        <w:color w:val="404040"/>
      </w:rPr>
      <w:tblPr/>
      <w:tcPr>
        <w:tcBorders>
          <w:bottom w:val="single" w:sz="12" w:space="0" w:color="C794C7"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8B5D8" w:themeColor="accent6" w:themeTint="67"/>
          <w:left w:val="single" w:sz="4" w:space="0" w:color="D8B5D8" w:themeColor="accent6" w:themeTint="67"/>
          <w:bottom w:val="single" w:sz="4" w:space="0" w:color="D8B5D8" w:themeColor="accent6" w:themeTint="67"/>
          <w:right w:val="single" w:sz="4" w:space="0" w:color="D8B5D8" w:themeColor="accent6"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2-Accent1">
    <w:name w:val="Grid Table 2 Accent 1"/>
    <w:basedOn w:val="TableNormal"/>
    <w:uiPriority w:val="99"/>
    <w:pPr>
      <w:spacing w:after="0" w:line="240" w:lineRule="auto"/>
    </w:pPr>
    <w:tblPr>
      <w:tblStyleRowBandSize w:val="1"/>
      <w:tblStyleColBandSize w:val="1"/>
      <w:tblBorders>
        <w:bottom w:val="single" w:sz="4" w:space="0" w:color="0066AA" w:themeColor="accent1" w:themeTint="EA"/>
        <w:insideH w:val="single" w:sz="4" w:space="0" w:color="0066AA" w:themeColor="accent1" w:themeTint="EA"/>
        <w:insideV w:val="single" w:sz="4" w:space="0" w:color="0066AA" w:themeColor="accent1" w:themeTint="EA"/>
      </w:tblBorders>
    </w:tblPr>
    <w:tblStylePr w:type="firstRow">
      <w:rPr>
        <w:b/>
        <w:color w:val="404040"/>
      </w:rPr>
      <w:tblPr/>
      <w:tcPr>
        <w:tcBorders>
          <w:top w:val="none" w:sz="4" w:space="0" w:color="000000"/>
          <w:left w:val="none" w:sz="4" w:space="0" w:color="000000"/>
          <w:bottom w:val="single" w:sz="12" w:space="0" w:color="0066AA" w:themeColor="accent1" w:themeTint="EA"/>
          <w:right w:val="none" w:sz="4" w:space="0" w:color="000000"/>
        </w:tcBorders>
        <w:shd w:val="clear" w:color="FFFFFF" w:fill="auto"/>
      </w:tcPr>
    </w:tblStylePr>
    <w:tblStylePr w:type="lastRow">
      <w:rPr>
        <w:b/>
        <w:color w:val="404040"/>
      </w:rPr>
      <w:tblPr/>
      <w:tcPr>
        <w:tcBorders>
          <w:top w:val="single" w:sz="4" w:space="0" w:color="0066AA"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3E1FF" w:themeColor="accent1" w:themeTint="34" w:fill="B3E1FF" w:themeFill="accent1" w:themeFillTint="34"/>
      </w:tcPr>
    </w:tblStylePr>
    <w:tblStylePr w:type="band1Horz">
      <w:rPr>
        <w:rFonts w:ascii="Arial" w:hAnsi="Arial"/>
        <w:color w:val="404040"/>
        <w:sz w:val="22"/>
      </w:rPr>
      <w:tblPr/>
      <w:tcPr>
        <w:shd w:val="clear" w:color="B3E1FF" w:themeColor="accent1" w:themeTint="34" w:fill="B3E1FF" w:themeFill="accent1" w:themeFillTint="34"/>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57CCFF" w:themeColor="accent2" w:themeTint="97"/>
        <w:insideH w:val="single" w:sz="4" w:space="0" w:color="57CCFF" w:themeColor="accent2" w:themeTint="97"/>
        <w:insideV w:val="single" w:sz="4" w:space="0" w:color="57CCFF" w:themeColor="accent2" w:themeTint="97"/>
      </w:tblBorders>
    </w:tblPr>
    <w:tblStylePr w:type="firstRow">
      <w:rPr>
        <w:b/>
        <w:color w:val="404040"/>
      </w:rPr>
      <w:tblPr/>
      <w:tcPr>
        <w:tcBorders>
          <w:top w:val="none" w:sz="4" w:space="0" w:color="000000"/>
          <w:left w:val="none" w:sz="4" w:space="0" w:color="000000"/>
          <w:bottom w:val="single" w:sz="12" w:space="0" w:color="57CCFF" w:themeColor="accent2" w:themeTint="97"/>
          <w:right w:val="none" w:sz="4" w:space="0" w:color="000000"/>
        </w:tcBorders>
        <w:shd w:val="clear" w:color="FFFFFF" w:fill="auto"/>
      </w:tcPr>
    </w:tblStylePr>
    <w:tblStylePr w:type="lastRow">
      <w:rPr>
        <w:b/>
        <w:color w:val="404040"/>
      </w:rPr>
      <w:tblPr/>
      <w:tcPr>
        <w:tcBorders>
          <w:top w:val="single" w:sz="4" w:space="0" w:color="57CCFF"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7EEFF" w:themeColor="accent2" w:themeTint="32" w:fill="C7EEFF" w:themeFill="accent2" w:themeFillTint="32"/>
      </w:tcPr>
    </w:tblStylePr>
    <w:tblStylePr w:type="band1Horz">
      <w:rPr>
        <w:rFonts w:ascii="Arial" w:hAnsi="Arial"/>
        <w:color w:val="404040"/>
        <w:sz w:val="22"/>
      </w:rPr>
      <w:tblPr/>
      <w:tcPr>
        <w:shd w:val="clear" w:color="C7EEFF" w:themeColor="accent2" w:themeTint="32" w:fill="C7EEFF"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00B1A9" w:themeColor="accent3" w:themeTint="FE"/>
        <w:insideH w:val="single" w:sz="4" w:space="0" w:color="00B1A9" w:themeColor="accent3" w:themeTint="FE"/>
        <w:insideV w:val="single" w:sz="4" w:space="0" w:color="00B1A9" w:themeColor="accent3" w:themeTint="FE"/>
      </w:tblBorders>
    </w:tblPr>
    <w:tblStylePr w:type="firstRow">
      <w:rPr>
        <w:b/>
        <w:color w:val="404040"/>
      </w:rPr>
      <w:tblPr/>
      <w:tcPr>
        <w:tcBorders>
          <w:top w:val="none" w:sz="4" w:space="0" w:color="000000"/>
          <w:left w:val="none" w:sz="4" w:space="0" w:color="000000"/>
          <w:bottom w:val="single" w:sz="12" w:space="0" w:color="00B1A9" w:themeColor="accent3" w:themeTint="FE"/>
          <w:right w:val="none" w:sz="4" w:space="0" w:color="000000"/>
        </w:tcBorders>
        <w:shd w:val="clear" w:color="FFFFFF" w:fill="auto"/>
      </w:tcPr>
    </w:tblStylePr>
    <w:tblStylePr w:type="lastRow">
      <w:rPr>
        <w:b/>
        <w:color w:val="404040"/>
      </w:rPr>
      <w:tblPr/>
      <w:tcPr>
        <w:tcBorders>
          <w:top w:val="single" w:sz="4" w:space="0" w:color="00B1A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AFFFC" w:themeColor="accent3" w:themeTint="34" w:fill="BAFFFC" w:themeFill="accent3" w:themeFillTint="34"/>
      </w:tcPr>
    </w:tblStylePr>
    <w:tblStylePr w:type="band1Horz">
      <w:rPr>
        <w:rFonts w:ascii="Arial" w:hAnsi="Arial"/>
        <w:color w:val="404040"/>
        <w:sz w:val="22"/>
      </w:rPr>
      <w:tblPr/>
      <w:tcPr>
        <w:shd w:val="clear" w:color="BAFFFC" w:themeColor="accent3" w:themeTint="34" w:fill="BAFFFC"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48EDFF" w:themeColor="accent4" w:themeTint="9A"/>
        <w:insideH w:val="single" w:sz="4" w:space="0" w:color="48EDFF" w:themeColor="accent4" w:themeTint="9A"/>
        <w:insideV w:val="single" w:sz="4" w:space="0" w:color="48EDFF" w:themeColor="accent4" w:themeTint="9A"/>
      </w:tblBorders>
    </w:tblPr>
    <w:tblStylePr w:type="firstRow">
      <w:rPr>
        <w:b/>
        <w:color w:val="404040"/>
      </w:rPr>
      <w:tblPr/>
      <w:tcPr>
        <w:tcBorders>
          <w:top w:val="none" w:sz="4" w:space="0" w:color="000000"/>
          <w:left w:val="none" w:sz="4" w:space="0" w:color="000000"/>
          <w:bottom w:val="single" w:sz="12" w:space="0" w:color="48EDFF" w:themeColor="accent4" w:themeTint="9A"/>
          <w:right w:val="none" w:sz="4" w:space="0" w:color="000000"/>
        </w:tcBorders>
        <w:shd w:val="clear" w:color="FFFFFF" w:fill="auto"/>
      </w:tcPr>
    </w:tblStylePr>
    <w:tblStylePr w:type="lastRow">
      <w:rPr>
        <w:b/>
        <w:color w:val="404040"/>
      </w:rPr>
      <w:tblPr/>
      <w:tcPr>
        <w:tcBorders>
          <w:top w:val="single" w:sz="4" w:space="0" w:color="48EDFF"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1F8FF" w:themeColor="accent4" w:themeTint="34" w:fill="C1F8FF" w:themeFill="accent4" w:themeFillTint="34"/>
      </w:tcPr>
    </w:tblStylePr>
    <w:tblStylePr w:type="band1Horz">
      <w:rPr>
        <w:rFonts w:ascii="Arial" w:hAnsi="Arial"/>
        <w:color w:val="404040"/>
        <w:sz w:val="22"/>
      </w:rPr>
      <w:tblPr/>
      <w:tcPr>
        <w:shd w:val="clear" w:color="C1F8FF" w:themeColor="accent4" w:themeTint="34" w:fill="C1F8FF"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6787C4" w:themeColor="accent5"/>
        <w:insideH w:val="single" w:sz="4" w:space="0" w:color="6787C4" w:themeColor="accent5"/>
        <w:insideV w:val="single" w:sz="4" w:space="0" w:color="6787C4" w:themeColor="accent5"/>
      </w:tblBorders>
    </w:tblPr>
    <w:tblStylePr w:type="firstRow">
      <w:rPr>
        <w:b/>
        <w:color w:val="404040"/>
      </w:rPr>
      <w:tblPr/>
      <w:tcPr>
        <w:tcBorders>
          <w:top w:val="none" w:sz="4" w:space="0" w:color="000000"/>
          <w:left w:val="none" w:sz="4" w:space="0" w:color="000000"/>
          <w:bottom w:val="single" w:sz="12" w:space="0" w:color="6787C4" w:themeColor="accent5"/>
          <w:right w:val="none" w:sz="4" w:space="0" w:color="000000"/>
        </w:tcBorders>
        <w:shd w:val="clear" w:color="FFFFFF" w:fill="auto"/>
      </w:tcPr>
    </w:tblStylePr>
    <w:tblStylePr w:type="lastRow">
      <w:rPr>
        <w:b/>
        <w:color w:val="404040"/>
      </w:rPr>
      <w:tblPr/>
      <w:tcPr>
        <w:tcBorders>
          <w:top w:val="single" w:sz="4" w:space="0" w:color="6787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E6F3" w:themeColor="accent5" w:themeTint="34" w:fill="DFE6F3" w:themeFill="accent5" w:themeFillTint="34"/>
      </w:tcPr>
    </w:tblStylePr>
    <w:tblStylePr w:type="band1Horz">
      <w:rPr>
        <w:rFonts w:ascii="Arial" w:hAnsi="Arial"/>
        <w:color w:val="404040"/>
        <w:sz w:val="22"/>
      </w:rPr>
      <w:tblPr/>
      <w:tcPr>
        <w:shd w:val="clear" w:color="DFE6F3" w:themeColor="accent5" w:themeTint="34" w:fill="DFE6F3"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99509A" w:themeColor="accent6"/>
        <w:insideH w:val="single" w:sz="4" w:space="0" w:color="99509A" w:themeColor="accent6"/>
        <w:insideV w:val="single" w:sz="4" w:space="0" w:color="99509A" w:themeColor="accent6"/>
      </w:tblBorders>
    </w:tblPr>
    <w:tblStylePr w:type="firstRow">
      <w:rPr>
        <w:b/>
        <w:color w:val="404040"/>
      </w:rPr>
      <w:tblPr/>
      <w:tcPr>
        <w:tcBorders>
          <w:top w:val="none" w:sz="4" w:space="0" w:color="000000"/>
          <w:left w:val="none" w:sz="4" w:space="0" w:color="000000"/>
          <w:bottom w:val="single" w:sz="12" w:space="0" w:color="99509A" w:themeColor="accent6"/>
          <w:right w:val="none" w:sz="4" w:space="0" w:color="000000"/>
        </w:tcBorders>
        <w:shd w:val="clear" w:color="FFFFFF" w:fill="auto"/>
      </w:tcPr>
    </w:tblStylePr>
    <w:tblStylePr w:type="lastRow">
      <w:rPr>
        <w:b/>
        <w:color w:val="404040"/>
      </w:rPr>
      <w:tblPr/>
      <w:tcPr>
        <w:tcBorders>
          <w:top w:val="single" w:sz="4" w:space="0" w:color="99509A"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D9EB" w:themeColor="accent6" w:themeTint="34" w:fill="EBD9EB" w:themeFill="accent6" w:themeFillTint="34"/>
      </w:tcPr>
    </w:tblStylePr>
    <w:tblStylePr w:type="band1Horz">
      <w:rPr>
        <w:rFonts w:ascii="Arial" w:hAnsi="Arial"/>
        <w:color w:val="404040"/>
        <w:sz w:val="22"/>
      </w:rPr>
      <w:tblPr/>
      <w:tcPr>
        <w:shd w:val="clear" w:color="EBD9EB" w:themeColor="accent6" w:themeTint="34" w:fill="EBD9EB" w:themeFill="accent6"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0066AA" w:themeColor="accent1" w:themeTint="EA"/>
        <w:insideH w:val="single" w:sz="4" w:space="0" w:color="0066AA" w:themeColor="accent1" w:themeTint="EA"/>
        <w:insideV w:val="single" w:sz="4" w:space="0" w:color="0066AA"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3E1FF" w:themeColor="accent1" w:themeTint="34" w:fill="B3E1FF" w:themeFill="accent1" w:themeFillTint="34"/>
      </w:tcPr>
    </w:tblStylePr>
    <w:tblStylePr w:type="band1Horz">
      <w:rPr>
        <w:rFonts w:ascii="Arial" w:hAnsi="Arial"/>
        <w:color w:val="404040"/>
        <w:sz w:val="22"/>
      </w:rPr>
      <w:tblPr/>
      <w:tcPr>
        <w:shd w:val="clear" w:color="B3E1FF" w:themeColor="accent1" w:themeTint="34" w:fill="B3E1FF"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57CCFF" w:themeColor="accent2" w:themeTint="97"/>
        <w:insideH w:val="single" w:sz="4" w:space="0" w:color="57CCFF" w:themeColor="accent2" w:themeTint="97"/>
        <w:insideV w:val="single" w:sz="4" w:space="0" w:color="57CCFF"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7EEFF" w:themeColor="accent2" w:themeTint="32" w:fill="C7EEFF" w:themeFill="accent2" w:themeFillTint="32"/>
      </w:tcPr>
    </w:tblStylePr>
    <w:tblStylePr w:type="band1Horz">
      <w:rPr>
        <w:rFonts w:ascii="Arial" w:hAnsi="Arial"/>
        <w:color w:val="404040"/>
        <w:sz w:val="22"/>
      </w:rPr>
      <w:tblPr/>
      <w:tcPr>
        <w:shd w:val="clear" w:color="C7EEFF" w:themeColor="accent2" w:themeTint="32" w:fill="C7EEFF"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00B1A9" w:themeColor="accent3" w:themeTint="FE"/>
        <w:insideH w:val="single" w:sz="4" w:space="0" w:color="00B1A9" w:themeColor="accent3" w:themeTint="FE"/>
        <w:insideV w:val="single" w:sz="4" w:space="0" w:color="00B1A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AFFFC" w:themeColor="accent3" w:themeTint="34" w:fill="BAFFFC" w:themeFill="accent3" w:themeFillTint="34"/>
      </w:tcPr>
    </w:tblStylePr>
    <w:tblStylePr w:type="band1Horz">
      <w:rPr>
        <w:rFonts w:ascii="Arial" w:hAnsi="Arial"/>
        <w:color w:val="404040"/>
        <w:sz w:val="22"/>
      </w:rPr>
      <w:tblPr/>
      <w:tcPr>
        <w:shd w:val="clear" w:color="BAFFFC" w:themeColor="accent3" w:themeTint="34" w:fill="BAFFFC"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48EDFF" w:themeColor="accent4" w:themeTint="9A"/>
        <w:insideH w:val="single" w:sz="4" w:space="0" w:color="48EDFF" w:themeColor="accent4" w:themeTint="9A"/>
        <w:insideV w:val="single" w:sz="4" w:space="0" w:color="48EDFF"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1F8FF" w:themeColor="accent4" w:themeTint="34" w:fill="C1F8FF" w:themeFill="accent4" w:themeFillTint="34"/>
      </w:tcPr>
    </w:tblStylePr>
    <w:tblStylePr w:type="band1Horz">
      <w:rPr>
        <w:rFonts w:ascii="Arial" w:hAnsi="Arial"/>
        <w:color w:val="404040"/>
        <w:sz w:val="22"/>
      </w:rPr>
      <w:tblPr/>
      <w:tcPr>
        <w:shd w:val="clear" w:color="C1F8FF" w:themeColor="accent4" w:themeTint="34" w:fill="C1F8FF"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6787C4" w:themeColor="accent5"/>
        <w:insideH w:val="single" w:sz="4" w:space="0" w:color="6787C4" w:themeColor="accent5"/>
        <w:insideV w:val="single" w:sz="4" w:space="0" w:color="6787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FE6F3" w:themeColor="accent5" w:themeTint="34" w:fill="DFE6F3" w:themeFill="accent5" w:themeFillTint="34"/>
      </w:tcPr>
    </w:tblStylePr>
    <w:tblStylePr w:type="band1Horz">
      <w:rPr>
        <w:rFonts w:ascii="Arial" w:hAnsi="Arial"/>
        <w:color w:val="404040"/>
        <w:sz w:val="22"/>
      </w:rPr>
      <w:tblPr/>
      <w:tcPr>
        <w:shd w:val="clear" w:color="DFE6F3" w:themeColor="accent5" w:themeTint="34" w:fill="DFE6F3"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99509A" w:themeColor="accent6"/>
        <w:insideH w:val="single" w:sz="4" w:space="0" w:color="99509A" w:themeColor="accent6"/>
        <w:insideV w:val="single" w:sz="4" w:space="0" w:color="99509A"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BD9EB" w:themeColor="accent6" w:themeTint="34" w:fill="EBD9EB" w:themeFill="accent6" w:themeFillTint="34"/>
      </w:tcPr>
    </w:tblStylePr>
    <w:tblStylePr w:type="band1Horz">
      <w:rPr>
        <w:rFonts w:ascii="Arial" w:hAnsi="Arial"/>
        <w:color w:val="404040"/>
        <w:sz w:val="22"/>
      </w:rPr>
      <w:tblPr/>
      <w:tcPr>
        <w:shd w:val="clear" w:color="EBD9EB" w:themeColor="accent6" w:themeTint="34" w:fill="EBD9EB" w:themeFill="accent6"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Accent1">
    <w:name w:val="Grid Table 4 Accent 1"/>
    <w:basedOn w:val="TableNormal"/>
    <w:uiPriority w:val="59"/>
    <w:pPr>
      <w:spacing w:after="0" w:line="240" w:lineRule="auto"/>
    </w:pPr>
    <w:tblPr>
      <w:tblStyleRowBandSize w:val="1"/>
      <w:tblStyleColBandSize w:val="1"/>
      <w:tblBorders>
        <w:top w:val="single" w:sz="4" w:space="0" w:color="2EACFF" w:themeColor="accent1" w:themeTint="90"/>
        <w:left w:val="single" w:sz="4" w:space="0" w:color="2EACFF" w:themeColor="accent1" w:themeTint="90"/>
        <w:bottom w:val="single" w:sz="4" w:space="0" w:color="2EACFF" w:themeColor="accent1" w:themeTint="90"/>
        <w:right w:val="single" w:sz="4" w:space="0" w:color="2EACFF" w:themeColor="accent1" w:themeTint="90"/>
        <w:insideH w:val="single" w:sz="4" w:space="0" w:color="2EACFF" w:themeColor="accent1" w:themeTint="90"/>
        <w:insideV w:val="single" w:sz="4" w:space="0" w:color="2EACFF" w:themeColor="accent1" w:themeTint="90"/>
      </w:tblBorders>
    </w:tblPr>
    <w:tblStylePr w:type="firstRow">
      <w:rPr>
        <w:rFonts w:ascii="Arial" w:hAnsi="Arial"/>
        <w:b/>
        <w:color w:val="FFFFFF"/>
        <w:sz w:val="22"/>
      </w:rPr>
      <w:tblPr/>
      <w:tcPr>
        <w:tcBorders>
          <w:top w:val="single" w:sz="4" w:space="0" w:color="0066AA" w:themeColor="accent1" w:themeTint="EA"/>
          <w:left w:val="single" w:sz="4" w:space="0" w:color="0066AA" w:themeColor="accent1" w:themeTint="EA"/>
          <w:bottom w:val="single" w:sz="4" w:space="0" w:color="0066AA" w:themeColor="accent1" w:themeTint="EA"/>
          <w:right w:val="single" w:sz="4" w:space="0" w:color="0066AA" w:themeColor="accent1" w:themeTint="EA"/>
        </w:tcBorders>
        <w:shd w:val="clear" w:color="0066AA" w:themeColor="accent1" w:themeTint="EA" w:fill="0066AA" w:themeFill="accent1" w:themeFillTint="EA"/>
      </w:tcPr>
    </w:tblStylePr>
    <w:tblStylePr w:type="lastRow">
      <w:rPr>
        <w:b/>
        <w:color w:val="404040"/>
      </w:rPr>
      <w:tblPr/>
      <w:tcPr>
        <w:tcBorders>
          <w:top w:val="single" w:sz="4" w:space="0" w:color="0066AA"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6E2FF" w:themeColor="accent1" w:themeTint="32" w:fill="B6E2FF" w:themeFill="accent1" w:themeFillTint="32"/>
      </w:tcPr>
    </w:tblStylePr>
    <w:tblStylePr w:type="band1Horz">
      <w:rPr>
        <w:rFonts w:ascii="Arial" w:hAnsi="Arial"/>
        <w:color w:val="404040"/>
        <w:sz w:val="22"/>
      </w:rPr>
      <w:tblPr/>
      <w:tcPr>
        <w:shd w:val="clear" w:color="B6E2FF" w:themeColor="accent1" w:themeTint="32" w:fill="B6E2FF" w:themeFill="accent1" w:themeFillTint="32"/>
      </w:tcPr>
    </w:tblStylePr>
  </w:style>
  <w:style w:type="table" w:styleId="GridTable4-Accent2">
    <w:name w:val="Grid Table 4 Accent 2"/>
    <w:basedOn w:val="TableNormal"/>
    <w:uiPriority w:val="59"/>
    <w:pPr>
      <w:spacing w:after="0" w:line="240" w:lineRule="auto"/>
    </w:pPr>
    <w:tblPr>
      <w:tblStyleRowBandSize w:val="1"/>
      <w:tblStyleColBandSize w:val="1"/>
      <w:tblBorders>
        <w:top w:val="single" w:sz="4" w:space="0" w:color="5FCEFF" w:themeColor="accent2" w:themeTint="90"/>
        <w:left w:val="single" w:sz="4" w:space="0" w:color="5FCEFF" w:themeColor="accent2" w:themeTint="90"/>
        <w:bottom w:val="single" w:sz="4" w:space="0" w:color="5FCEFF" w:themeColor="accent2" w:themeTint="90"/>
        <w:right w:val="single" w:sz="4" w:space="0" w:color="5FCEFF" w:themeColor="accent2" w:themeTint="90"/>
        <w:insideH w:val="single" w:sz="4" w:space="0" w:color="5FCEFF" w:themeColor="accent2" w:themeTint="90"/>
        <w:insideV w:val="single" w:sz="4" w:space="0" w:color="5FCEFF" w:themeColor="accent2" w:themeTint="90"/>
      </w:tblBorders>
    </w:tblPr>
    <w:tblStylePr w:type="firstRow">
      <w:rPr>
        <w:rFonts w:ascii="Arial" w:hAnsi="Arial"/>
        <w:b/>
        <w:color w:val="FFFFFF"/>
        <w:sz w:val="22"/>
      </w:rPr>
      <w:tblPr/>
      <w:tcPr>
        <w:tcBorders>
          <w:top w:val="single" w:sz="4" w:space="0" w:color="57CCFF" w:themeColor="accent2" w:themeTint="97"/>
          <w:left w:val="single" w:sz="4" w:space="0" w:color="57CCFF" w:themeColor="accent2" w:themeTint="97"/>
          <w:bottom w:val="single" w:sz="4" w:space="0" w:color="57CCFF" w:themeColor="accent2" w:themeTint="97"/>
          <w:right w:val="single" w:sz="4" w:space="0" w:color="57CCFF" w:themeColor="accent2" w:themeTint="97"/>
        </w:tcBorders>
        <w:shd w:val="clear" w:color="57CCFF" w:themeColor="accent2" w:themeTint="97" w:fill="57CCFF" w:themeFill="accent2" w:themeFillTint="97"/>
      </w:tcPr>
    </w:tblStylePr>
    <w:tblStylePr w:type="lastRow">
      <w:rPr>
        <w:b/>
        <w:color w:val="404040"/>
      </w:rPr>
      <w:tblPr/>
      <w:tcPr>
        <w:tcBorders>
          <w:top w:val="single" w:sz="4" w:space="0" w:color="57CCFF"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7EEFF" w:themeColor="accent2" w:themeTint="32" w:fill="C7EEFF" w:themeFill="accent2" w:themeFillTint="32"/>
      </w:tcPr>
    </w:tblStylePr>
    <w:tblStylePr w:type="band1Horz">
      <w:rPr>
        <w:rFonts w:ascii="Arial" w:hAnsi="Arial"/>
        <w:color w:val="404040"/>
        <w:sz w:val="22"/>
      </w:rPr>
      <w:tblPr/>
      <w:tcPr>
        <w:shd w:val="clear" w:color="C7EEFF" w:themeColor="accent2" w:themeTint="32" w:fill="C7EEFF" w:themeFill="accent2" w:themeFillTint="32"/>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42FFF6" w:themeColor="accent3" w:themeTint="90"/>
        <w:left w:val="single" w:sz="4" w:space="0" w:color="42FFF6" w:themeColor="accent3" w:themeTint="90"/>
        <w:bottom w:val="single" w:sz="4" w:space="0" w:color="42FFF6" w:themeColor="accent3" w:themeTint="90"/>
        <w:right w:val="single" w:sz="4" w:space="0" w:color="42FFF6" w:themeColor="accent3" w:themeTint="90"/>
        <w:insideH w:val="single" w:sz="4" w:space="0" w:color="42FFF6" w:themeColor="accent3" w:themeTint="90"/>
        <w:insideV w:val="single" w:sz="4" w:space="0" w:color="42FFF6" w:themeColor="accent3" w:themeTint="90"/>
      </w:tblBorders>
    </w:tblPr>
    <w:tblStylePr w:type="firstRow">
      <w:rPr>
        <w:rFonts w:ascii="Arial" w:hAnsi="Arial"/>
        <w:b/>
        <w:color w:val="FFFFFF"/>
        <w:sz w:val="22"/>
      </w:rPr>
      <w:tblPr/>
      <w:tcPr>
        <w:tcBorders>
          <w:top w:val="single" w:sz="4" w:space="0" w:color="00B1A9" w:themeColor="accent3" w:themeTint="FE"/>
          <w:left w:val="single" w:sz="4" w:space="0" w:color="00B1A9" w:themeColor="accent3" w:themeTint="FE"/>
          <w:bottom w:val="single" w:sz="4" w:space="0" w:color="00B1A9" w:themeColor="accent3" w:themeTint="FE"/>
          <w:right w:val="single" w:sz="4" w:space="0" w:color="00B1A9" w:themeColor="accent3" w:themeTint="FE"/>
        </w:tcBorders>
        <w:shd w:val="clear" w:color="00B1A9" w:themeColor="accent3" w:themeTint="FE" w:fill="00B1A9" w:themeFill="accent3" w:themeFillTint="FE"/>
      </w:tcPr>
    </w:tblStylePr>
    <w:tblStylePr w:type="lastRow">
      <w:rPr>
        <w:b/>
        <w:color w:val="404040"/>
      </w:rPr>
      <w:tblPr/>
      <w:tcPr>
        <w:tcBorders>
          <w:top w:val="single" w:sz="4" w:space="0" w:color="00B1A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AFFFC" w:themeColor="accent3" w:themeTint="34" w:fill="BAFFFC" w:themeFill="accent3" w:themeFillTint="34"/>
      </w:tcPr>
    </w:tblStylePr>
    <w:tblStylePr w:type="band1Horz">
      <w:rPr>
        <w:rFonts w:ascii="Arial" w:hAnsi="Arial"/>
        <w:color w:val="404040"/>
        <w:sz w:val="22"/>
      </w:rPr>
      <w:tblPr/>
      <w:tcPr>
        <w:shd w:val="clear" w:color="BAFFFC" w:themeColor="accent3" w:themeTint="34" w:fill="BAFFFC"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54EEFF" w:themeColor="accent4" w:themeTint="90"/>
        <w:left w:val="single" w:sz="4" w:space="0" w:color="54EEFF" w:themeColor="accent4" w:themeTint="90"/>
        <w:bottom w:val="single" w:sz="4" w:space="0" w:color="54EEFF" w:themeColor="accent4" w:themeTint="90"/>
        <w:right w:val="single" w:sz="4" w:space="0" w:color="54EEFF" w:themeColor="accent4" w:themeTint="90"/>
        <w:insideH w:val="single" w:sz="4" w:space="0" w:color="54EEFF" w:themeColor="accent4" w:themeTint="90"/>
        <w:insideV w:val="single" w:sz="4" w:space="0" w:color="54EEFF" w:themeColor="accent4" w:themeTint="90"/>
      </w:tblBorders>
    </w:tblPr>
    <w:tblStylePr w:type="firstRow">
      <w:rPr>
        <w:rFonts w:ascii="Arial" w:hAnsi="Arial"/>
        <w:b/>
        <w:color w:val="FFFFFF"/>
        <w:sz w:val="22"/>
      </w:rPr>
      <w:tblPr/>
      <w:tcPr>
        <w:tcBorders>
          <w:top w:val="single" w:sz="4" w:space="0" w:color="48EDFF" w:themeColor="accent4" w:themeTint="9A"/>
          <w:left w:val="single" w:sz="4" w:space="0" w:color="48EDFF" w:themeColor="accent4" w:themeTint="9A"/>
          <w:bottom w:val="single" w:sz="4" w:space="0" w:color="48EDFF" w:themeColor="accent4" w:themeTint="9A"/>
          <w:right w:val="single" w:sz="4" w:space="0" w:color="48EDFF" w:themeColor="accent4" w:themeTint="9A"/>
        </w:tcBorders>
        <w:shd w:val="clear" w:color="48EDFF" w:themeColor="accent4" w:themeTint="9A" w:fill="48EDFF" w:themeFill="accent4" w:themeFillTint="9A"/>
      </w:tcPr>
    </w:tblStylePr>
    <w:tblStylePr w:type="lastRow">
      <w:rPr>
        <w:b/>
        <w:color w:val="404040"/>
      </w:rPr>
      <w:tblPr/>
      <w:tcPr>
        <w:tcBorders>
          <w:top w:val="single" w:sz="4" w:space="0" w:color="48EDFF"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1F8FF" w:themeColor="accent4" w:themeTint="34" w:fill="C1F8FF" w:themeFill="accent4" w:themeFillTint="34"/>
      </w:tcPr>
    </w:tblStylePr>
    <w:tblStylePr w:type="band1Horz">
      <w:rPr>
        <w:rFonts w:ascii="Arial" w:hAnsi="Arial"/>
        <w:color w:val="404040"/>
        <w:sz w:val="22"/>
      </w:rPr>
      <w:tblPr/>
      <w:tcPr>
        <w:shd w:val="clear" w:color="C1F8FF" w:themeColor="accent4" w:themeTint="34" w:fill="C1F8FF" w:themeFill="accent4" w:themeFillTint="34"/>
      </w:tcPr>
    </w:tblStylePr>
  </w:style>
  <w:style w:type="table" w:styleId="GridTable4-Accent5">
    <w:name w:val="Grid Table 4 Accent 5"/>
    <w:basedOn w:val="TableNormal"/>
    <w:uiPriority w:val="59"/>
    <w:pPr>
      <w:spacing w:after="0" w:line="240" w:lineRule="auto"/>
    </w:pPr>
    <w:tblPr>
      <w:tblStyleRowBandSize w:val="1"/>
      <w:tblStyleColBandSize w:val="1"/>
      <w:tblBorders>
        <w:top w:val="single" w:sz="4" w:space="0" w:color="A9BADD" w:themeColor="accent5" w:themeTint="90"/>
        <w:left w:val="single" w:sz="4" w:space="0" w:color="A9BADD" w:themeColor="accent5" w:themeTint="90"/>
        <w:bottom w:val="single" w:sz="4" w:space="0" w:color="A9BADD" w:themeColor="accent5" w:themeTint="90"/>
        <w:right w:val="single" w:sz="4" w:space="0" w:color="A9BADD" w:themeColor="accent5" w:themeTint="90"/>
        <w:insideH w:val="single" w:sz="4" w:space="0" w:color="A9BADD" w:themeColor="accent5" w:themeTint="90"/>
        <w:insideV w:val="single" w:sz="4" w:space="0" w:color="A9BADD" w:themeColor="accent5" w:themeTint="90"/>
      </w:tblBorders>
    </w:tblPr>
    <w:tblStylePr w:type="firstRow">
      <w:rPr>
        <w:rFonts w:ascii="Arial" w:hAnsi="Arial"/>
        <w:b/>
        <w:color w:val="FFFFFF"/>
        <w:sz w:val="22"/>
      </w:rPr>
      <w:tblPr/>
      <w:tcPr>
        <w:tcBorders>
          <w:top w:val="single" w:sz="4" w:space="0" w:color="6787C4" w:themeColor="accent5"/>
          <w:left w:val="single" w:sz="4" w:space="0" w:color="6787C4" w:themeColor="accent5"/>
          <w:bottom w:val="single" w:sz="4" w:space="0" w:color="6787C4" w:themeColor="accent5"/>
          <w:right w:val="single" w:sz="4" w:space="0" w:color="6787C4" w:themeColor="accent5"/>
        </w:tcBorders>
        <w:shd w:val="clear" w:color="6787C4" w:themeColor="accent5" w:fill="6787C4" w:themeFill="accent5"/>
      </w:tcPr>
    </w:tblStylePr>
    <w:tblStylePr w:type="lastRow">
      <w:rPr>
        <w:b/>
        <w:color w:val="404040"/>
      </w:rPr>
      <w:tblPr/>
      <w:tcPr>
        <w:tcBorders>
          <w:top w:val="single" w:sz="4" w:space="0" w:color="6787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E6F3" w:themeColor="accent5" w:themeTint="34" w:fill="DFE6F3" w:themeFill="accent5" w:themeFillTint="34"/>
      </w:tcPr>
    </w:tblStylePr>
    <w:tblStylePr w:type="band1Horz">
      <w:rPr>
        <w:rFonts w:ascii="Arial" w:hAnsi="Arial"/>
        <w:color w:val="404040"/>
        <w:sz w:val="22"/>
      </w:rPr>
      <w:tblPr/>
      <w:tcPr>
        <w:shd w:val="clear" w:color="DFE6F3" w:themeColor="accent5" w:themeTint="34" w:fill="DFE6F3" w:themeFill="accent5" w:themeFillTint="34"/>
      </w:tcPr>
    </w:tblStylePr>
  </w:style>
  <w:style w:type="table" w:styleId="GridTable4-Accent6">
    <w:name w:val="Grid Table 4 Accent 6"/>
    <w:basedOn w:val="TableNormal"/>
    <w:uiPriority w:val="59"/>
    <w:pPr>
      <w:spacing w:after="0" w:line="240" w:lineRule="auto"/>
    </w:pPr>
    <w:tblPr>
      <w:tblStyleRowBandSize w:val="1"/>
      <w:tblStyleColBandSize w:val="1"/>
      <w:tblBorders>
        <w:top w:val="single" w:sz="4" w:space="0" w:color="C898C9" w:themeColor="accent6" w:themeTint="90"/>
        <w:left w:val="single" w:sz="4" w:space="0" w:color="C898C9" w:themeColor="accent6" w:themeTint="90"/>
        <w:bottom w:val="single" w:sz="4" w:space="0" w:color="C898C9" w:themeColor="accent6" w:themeTint="90"/>
        <w:right w:val="single" w:sz="4" w:space="0" w:color="C898C9" w:themeColor="accent6" w:themeTint="90"/>
        <w:insideH w:val="single" w:sz="4" w:space="0" w:color="C898C9" w:themeColor="accent6" w:themeTint="90"/>
        <w:insideV w:val="single" w:sz="4" w:space="0" w:color="C898C9" w:themeColor="accent6" w:themeTint="90"/>
      </w:tblBorders>
    </w:tblPr>
    <w:tblStylePr w:type="firstRow">
      <w:rPr>
        <w:rFonts w:ascii="Arial" w:hAnsi="Arial"/>
        <w:b/>
        <w:color w:val="FFFFFF"/>
        <w:sz w:val="22"/>
      </w:rPr>
      <w:tblPr/>
      <w:tcPr>
        <w:tcBorders>
          <w:top w:val="single" w:sz="4" w:space="0" w:color="99509A" w:themeColor="accent6"/>
          <w:left w:val="single" w:sz="4" w:space="0" w:color="99509A" w:themeColor="accent6"/>
          <w:bottom w:val="single" w:sz="4" w:space="0" w:color="99509A" w:themeColor="accent6"/>
          <w:right w:val="single" w:sz="4" w:space="0" w:color="99509A" w:themeColor="accent6"/>
        </w:tcBorders>
        <w:shd w:val="clear" w:color="99509A" w:themeColor="accent6" w:fill="99509A" w:themeFill="accent6"/>
      </w:tcPr>
    </w:tblStylePr>
    <w:tblStylePr w:type="lastRow">
      <w:rPr>
        <w:b/>
        <w:color w:val="404040"/>
      </w:rPr>
      <w:tblPr/>
      <w:tcPr>
        <w:tcBorders>
          <w:top w:val="single" w:sz="4" w:space="0" w:color="99509A"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D9EB" w:themeColor="accent6" w:themeTint="34" w:fill="EBD9EB" w:themeFill="accent6" w:themeFillTint="34"/>
      </w:tcPr>
    </w:tblStylePr>
    <w:tblStylePr w:type="band1Horz">
      <w:rPr>
        <w:rFonts w:ascii="Arial" w:hAnsi="Arial"/>
        <w:color w:val="404040"/>
        <w:sz w:val="22"/>
      </w:rPr>
      <w:tblPr/>
      <w:tcPr>
        <w:shd w:val="clear" w:color="EBD9EB" w:themeColor="accent6" w:themeTint="34" w:fill="EBD9EB" w:themeFill="accent6" w:themeFillTint="34"/>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3E1FF" w:themeColor="accent1" w:themeTint="34" w:fill="B3E1FF" w:themeFill="accent1" w:themeFillTint="34"/>
    </w:tblPr>
    <w:tblStylePr w:type="firstRow">
      <w:rPr>
        <w:rFonts w:ascii="Arial" w:hAnsi="Arial"/>
        <w:b/>
        <w:color w:val="FFFFFF"/>
        <w:sz w:val="22"/>
      </w:rPr>
      <w:tblPr/>
      <w:tcPr>
        <w:shd w:val="clear" w:color="00558C" w:themeColor="accent1" w:fill="00558C" w:themeFill="accent1"/>
      </w:tcPr>
    </w:tblStylePr>
    <w:tblStylePr w:type="lastRow">
      <w:rPr>
        <w:rFonts w:ascii="Arial" w:hAnsi="Arial"/>
        <w:b/>
        <w:color w:val="FFFFFF"/>
        <w:sz w:val="22"/>
      </w:rPr>
      <w:tblPr/>
      <w:tcPr>
        <w:tcBorders>
          <w:top w:val="single" w:sz="4" w:space="0" w:color="FFFFFF" w:themeColor="light1"/>
        </w:tcBorders>
        <w:shd w:val="clear" w:color="00558C" w:themeColor="accent1" w:fill="00558C" w:themeFill="accent1"/>
      </w:tcPr>
    </w:tblStylePr>
    <w:tblStylePr w:type="firstCol">
      <w:rPr>
        <w:rFonts w:ascii="Arial" w:hAnsi="Arial"/>
        <w:b/>
        <w:color w:val="FFFFFF"/>
        <w:sz w:val="22"/>
      </w:rPr>
      <w:tblPr/>
      <w:tcPr>
        <w:shd w:val="clear" w:color="00558C" w:themeColor="accent1" w:fill="00558C" w:themeFill="accent1"/>
      </w:tcPr>
    </w:tblStylePr>
    <w:tblStylePr w:type="lastCol">
      <w:rPr>
        <w:rFonts w:ascii="Arial" w:hAnsi="Arial"/>
        <w:b/>
        <w:color w:val="FFFFFF"/>
        <w:sz w:val="22"/>
      </w:rPr>
      <w:tblPr/>
      <w:tcPr>
        <w:shd w:val="clear" w:color="00558C" w:themeColor="accent1" w:fill="00558C" w:themeFill="accent1"/>
      </w:tcPr>
    </w:tblStylePr>
    <w:tblStylePr w:type="band1Vert">
      <w:tblPr/>
      <w:tcPr>
        <w:shd w:val="clear" w:color="55BBFF" w:themeColor="accent1" w:themeTint="75" w:fill="55BBFF" w:themeFill="accent1" w:themeFillTint="75"/>
      </w:tcPr>
    </w:tblStylePr>
    <w:tblStylePr w:type="band1Horz">
      <w:tblPr/>
      <w:tcPr>
        <w:shd w:val="clear" w:color="55BBFF" w:themeColor="accent1" w:themeTint="75" w:fill="55BBFF" w:themeFill="accent1" w:themeFillTint="75"/>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7EEFF" w:themeColor="accent2" w:themeTint="32" w:fill="C7EEFF" w:themeFill="accent2" w:themeFillTint="32"/>
    </w:tblPr>
    <w:tblStylePr w:type="firstRow">
      <w:rPr>
        <w:rFonts w:ascii="Arial" w:hAnsi="Arial"/>
        <w:b/>
        <w:color w:val="FFFFFF"/>
        <w:sz w:val="22"/>
      </w:rPr>
      <w:tblPr/>
      <w:tcPr>
        <w:shd w:val="clear" w:color="009FE3" w:themeColor="accent2" w:fill="009FE3" w:themeFill="accent2"/>
      </w:tcPr>
    </w:tblStylePr>
    <w:tblStylePr w:type="lastRow">
      <w:rPr>
        <w:rFonts w:ascii="Arial" w:hAnsi="Arial"/>
        <w:b/>
        <w:color w:val="FFFFFF"/>
        <w:sz w:val="22"/>
      </w:rPr>
      <w:tblPr/>
      <w:tcPr>
        <w:tcBorders>
          <w:top w:val="single" w:sz="4" w:space="0" w:color="FFFFFF" w:themeColor="light1"/>
        </w:tcBorders>
        <w:shd w:val="clear" w:color="009FE3" w:themeColor="accent2" w:fill="009FE3" w:themeFill="accent2"/>
      </w:tcPr>
    </w:tblStylePr>
    <w:tblStylePr w:type="firstCol">
      <w:rPr>
        <w:rFonts w:ascii="Arial" w:hAnsi="Arial"/>
        <w:b/>
        <w:color w:val="FFFFFF"/>
        <w:sz w:val="22"/>
      </w:rPr>
      <w:tblPr/>
      <w:tcPr>
        <w:shd w:val="clear" w:color="009FE3" w:themeColor="accent2" w:fill="009FE3" w:themeFill="accent2"/>
      </w:tcPr>
    </w:tblStylePr>
    <w:tblStylePr w:type="lastCol">
      <w:rPr>
        <w:rFonts w:ascii="Arial" w:hAnsi="Arial"/>
        <w:b/>
        <w:color w:val="FFFFFF"/>
        <w:sz w:val="22"/>
      </w:rPr>
      <w:tblPr/>
      <w:tcPr>
        <w:shd w:val="clear" w:color="009FE3" w:themeColor="accent2" w:fill="009FE3" w:themeFill="accent2"/>
      </w:tcPr>
    </w:tblStylePr>
    <w:tblStylePr w:type="band1Vert">
      <w:tblPr/>
      <w:tcPr>
        <w:shd w:val="clear" w:color="7DD7FF" w:themeColor="accent2" w:themeTint="75" w:fill="7DD7FF" w:themeFill="accent2" w:themeFillTint="75"/>
      </w:tcPr>
    </w:tblStylePr>
    <w:tblStylePr w:type="band1Horz">
      <w:tblPr/>
      <w:tcPr>
        <w:shd w:val="clear" w:color="7DD7FF" w:themeColor="accent2" w:themeTint="75" w:fill="7DD7FF"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AFFFC" w:themeColor="accent3" w:themeTint="34" w:fill="BAFFFC" w:themeFill="accent3" w:themeFillTint="34"/>
    </w:tblPr>
    <w:tblStylePr w:type="firstRow">
      <w:rPr>
        <w:rFonts w:ascii="Arial" w:hAnsi="Arial"/>
        <w:b/>
        <w:color w:val="FFFFFF"/>
        <w:sz w:val="22"/>
      </w:rPr>
      <w:tblPr/>
      <w:tcPr>
        <w:shd w:val="clear" w:color="00B0A9" w:themeColor="accent3" w:fill="00B0A9" w:themeFill="accent3"/>
      </w:tcPr>
    </w:tblStylePr>
    <w:tblStylePr w:type="lastRow">
      <w:rPr>
        <w:rFonts w:ascii="Arial" w:hAnsi="Arial"/>
        <w:b/>
        <w:color w:val="FFFFFF"/>
        <w:sz w:val="22"/>
      </w:rPr>
      <w:tblPr/>
      <w:tcPr>
        <w:tcBorders>
          <w:top w:val="single" w:sz="4" w:space="0" w:color="FFFFFF" w:themeColor="light1"/>
        </w:tcBorders>
        <w:shd w:val="clear" w:color="00B0A9" w:themeColor="accent3" w:fill="00B0A9" w:themeFill="accent3"/>
      </w:tcPr>
    </w:tblStylePr>
    <w:tblStylePr w:type="firstCol">
      <w:rPr>
        <w:rFonts w:ascii="Arial" w:hAnsi="Arial"/>
        <w:b/>
        <w:color w:val="FFFFFF"/>
        <w:sz w:val="22"/>
      </w:rPr>
      <w:tblPr/>
      <w:tcPr>
        <w:shd w:val="clear" w:color="00B0A9" w:themeColor="accent3" w:fill="00B0A9" w:themeFill="accent3"/>
      </w:tcPr>
    </w:tblStylePr>
    <w:tblStylePr w:type="lastCol">
      <w:rPr>
        <w:rFonts w:ascii="Arial" w:hAnsi="Arial"/>
        <w:b/>
        <w:color w:val="FFFFFF"/>
        <w:sz w:val="22"/>
      </w:rPr>
      <w:tblPr/>
      <w:tcPr>
        <w:shd w:val="clear" w:color="00B0A9" w:themeColor="accent3" w:fill="00B0A9" w:themeFill="accent3"/>
      </w:tcPr>
    </w:tblStylePr>
    <w:tblStylePr w:type="band1Vert">
      <w:tblPr/>
      <w:tcPr>
        <w:shd w:val="clear" w:color="65FFF8" w:themeColor="accent3" w:themeTint="75" w:fill="65FFF8" w:themeFill="accent3" w:themeFillTint="75"/>
      </w:tcPr>
    </w:tblStylePr>
    <w:tblStylePr w:type="band1Horz">
      <w:tblPr/>
      <w:tcPr>
        <w:shd w:val="clear" w:color="65FFF8" w:themeColor="accent3" w:themeTint="75" w:fill="65FFF8" w:themeFill="accent3"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1F8FF" w:themeColor="accent4" w:themeTint="34" w:fill="C1F8FF" w:themeFill="accent4" w:themeFillTint="34"/>
    </w:tblPr>
    <w:tblStylePr w:type="firstRow">
      <w:rPr>
        <w:rFonts w:ascii="Arial" w:hAnsi="Arial"/>
        <w:b/>
        <w:color w:val="FFFFFF"/>
        <w:sz w:val="22"/>
      </w:rPr>
      <w:tblPr/>
      <w:tcPr>
        <w:shd w:val="clear" w:color="00BCD0" w:themeColor="accent4" w:fill="00BCD0" w:themeFill="accent4"/>
      </w:tcPr>
    </w:tblStylePr>
    <w:tblStylePr w:type="lastRow">
      <w:rPr>
        <w:rFonts w:ascii="Arial" w:hAnsi="Arial"/>
        <w:b/>
        <w:color w:val="FFFFFF"/>
        <w:sz w:val="22"/>
      </w:rPr>
      <w:tblPr/>
      <w:tcPr>
        <w:tcBorders>
          <w:top w:val="single" w:sz="4" w:space="0" w:color="FFFFFF" w:themeColor="light1"/>
        </w:tcBorders>
        <w:shd w:val="clear" w:color="00BCD0" w:themeColor="accent4" w:fill="00BCD0" w:themeFill="accent4"/>
      </w:tcPr>
    </w:tblStylePr>
    <w:tblStylePr w:type="firstCol">
      <w:rPr>
        <w:rFonts w:ascii="Arial" w:hAnsi="Arial"/>
        <w:b/>
        <w:color w:val="FFFFFF"/>
        <w:sz w:val="22"/>
      </w:rPr>
      <w:tblPr/>
      <w:tcPr>
        <w:shd w:val="clear" w:color="00BCD0" w:themeColor="accent4" w:fill="00BCD0" w:themeFill="accent4"/>
      </w:tcPr>
    </w:tblStylePr>
    <w:tblStylePr w:type="lastCol">
      <w:rPr>
        <w:rFonts w:ascii="Arial" w:hAnsi="Arial"/>
        <w:b/>
        <w:color w:val="FFFFFF"/>
        <w:sz w:val="22"/>
      </w:rPr>
      <w:tblPr/>
      <w:tcPr>
        <w:shd w:val="clear" w:color="00BCD0" w:themeColor="accent4" w:fill="00BCD0" w:themeFill="accent4"/>
      </w:tcPr>
    </w:tblStylePr>
    <w:tblStylePr w:type="band1Vert">
      <w:tblPr/>
      <w:tcPr>
        <w:shd w:val="clear" w:color="74F1FF" w:themeColor="accent4" w:themeTint="75" w:fill="74F1FF" w:themeFill="accent4" w:themeFillTint="75"/>
      </w:tcPr>
    </w:tblStylePr>
    <w:tblStylePr w:type="band1Horz">
      <w:tblPr/>
      <w:tcPr>
        <w:shd w:val="clear" w:color="74F1FF" w:themeColor="accent4" w:themeTint="75" w:fill="74F1FF" w:themeFill="accent4"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FE6F3" w:themeColor="accent5" w:themeTint="34" w:fill="DFE6F3" w:themeFill="accent5" w:themeFillTint="34"/>
    </w:tblPr>
    <w:tblStylePr w:type="firstRow">
      <w:rPr>
        <w:rFonts w:ascii="Arial" w:hAnsi="Arial"/>
        <w:b/>
        <w:color w:val="FFFFFF"/>
        <w:sz w:val="22"/>
      </w:rPr>
      <w:tblPr/>
      <w:tcPr>
        <w:shd w:val="clear" w:color="6787C4" w:themeColor="accent5" w:fill="6787C4" w:themeFill="accent5"/>
      </w:tcPr>
    </w:tblStylePr>
    <w:tblStylePr w:type="lastRow">
      <w:rPr>
        <w:rFonts w:ascii="Arial" w:hAnsi="Arial"/>
        <w:b/>
        <w:color w:val="FFFFFF"/>
        <w:sz w:val="22"/>
      </w:rPr>
      <w:tblPr/>
      <w:tcPr>
        <w:tcBorders>
          <w:top w:val="single" w:sz="4" w:space="0" w:color="FFFFFF" w:themeColor="light1"/>
        </w:tcBorders>
        <w:shd w:val="clear" w:color="6787C4" w:themeColor="accent5" w:fill="6787C4" w:themeFill="accent5"/>
      </w:tcPr>
    </w:tblStylePr>
    <w:tblStylePr w:type="firstCol">
      <w:rPr>
        <w:rFonts w:ascii="Arial" w:hAnsi="Arial"/>
        <w:b/>
        <w:color w:val="FFFFFF"/>
        <w:sz w:val="22"/>
      </w:rPr>
      <w:tblPr/>
      <w:tcPr>
        <w:shd w:val="clear" w:color="6787C4" w:themeColor="accent5" w:fill="6787C4" w:themeFill="accent5"/>
      </w:tcPr>
    </w:tblStylePr>
    <w:tblStylePr w:type="lastCol">
      <w:rPr>
        <w:rFonts w:ascii="Arial" w:hAnsi="Arial"/>
        <w:b/>
        <w:color w:val="FFFFFF"/>
        <w:sz w:val="22"/>
      </w:rPr>
      <w:tblPr/>
      <w:tcPr>
        <w:shd w:val="clear" w:color="6787C4" w:themeColor="accent5" w:fill="6787C4" w:themeFill="accent5"/>
      </w:tcPr>
    </w:tblStylePr>
    <w:tblStylePr w:type="band1Vert">
      <w:tblPr/>
      <w:tcPr>
        <w:shd w:val="clear" w:color="B9C7E4" w:themeColor="accent5" w:themeTint="75" w:fill="B9C7E4" w:themeFill="accent5" w:themeFillTint="75"/>
      </w:tcPr>
    </w:tblStylePr>
    <w:tblStylePr w:type="band1Horz">
      <w:tblPr/>
      <w:tcPr>
        <w:shd w:val="clear" w:color="B9C7E4" w:themeColor="accent5" w:themeTint="75" w:fill="B9C7E4"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BD9EB" w:themeColor="accent6" w:themeTint="34" w:fill="EBD9EB" w:themeFill="accent6" w:themeFillTint="34"/>
    </w:tblPr>
    <w:tblStylePr w:type="firstRow">
      <w:rPr>
        <w:rFonts w:ascii="Arial" w:hAnsi="Arial"/>
        <w:b/>
        <w:color w:val="FFFFFF"/>
        <w:sz w:val="22"/>
      </w:rPr>
      <w:tblPr/>
      <w:tcPr>
        <w:shd w:val="clear" w:color="99509A" w:themeColor="accent6" w:fill="99509A" w:themeFill="accent6"/>
      </w:tcPr>
    </w:tblStylePr>
    <w:tblStylePr w:type="lastRow">
      <w:rPr>
        <w:rFonts w:ascii="Arial" w:hAnsi="Arial"/>
        <w:b/>
        <w:color w:val="FFFFFF"/>
        <w:sz w:val="22"/>
      </w:rPr>
      <w:tblPr/>
      <w:tcPr>
        <w:tcBorders>
          <w:top w:val="single" w:sz="4" w:space="0" w:color="FFFFFF" w:themeColor="light1"/>
        </w:tcBorders>
        <w:shd w:val="clear" w:color="99509A" w:themeColor="accent6" w:fill="99509A" w:themeFill="accent6"/>
      </w:tcPr>
    </w:tblStylePr>
    <w:tblStylePr w:type="firstCol">
      <w:rPr>
        <w:rFonts w:ascii="Arial" w:hAnsi="Arial"/>
        <w:b/>
        <w:color w:val="FFFFFF"/>
        <w:sz w:val="22"/>
      </w:rPr>
      <w:tblPr/>
      <w:tcPr>
        <w:shd w:val="clear" w:color="99509A" w:themeColor="accent6" w:fill="99509A" w:themeFill="accent6"/>
      </w:tcPr>
    </w:tblStylePr>
    <w:tblStylePr w:type="lastCol">
      <w:rPr>
        <w:rFonts w:ascii="Arial" w:hAnsi="Arial"/>
        <w:b/>
        <w:color w:val="FFFFFF"/>
        <w:sz w:val="22"/>
      </w:rPr>
      <w:tblPr/>
      <w:tcPr>
        <w:shd w:val="clear" w:color="99509A" w:themeColor="accent6" w:fill="99509A" w:themeFill="accent6"/>
      </w:tcPr>
    </w:tblStylePr>
    <w:tblStylePr w:type="band1Vert">
      <w:tblPr/>
      <w:tcPr>
        <w:shd w:val="clear" w:color="D3ABD3" w:themeColor="accent6" w:themeTint="75" w:fill="D3ABD3" w:themeFill="accent6" w:themeFillTint="75"/>
      </w:tcPr>
    </w:tblStylePr>
    <w:tblStylePr w:type="band1Horz">
      <w:tblPr/>
      <w:tcPr>
        <w:shd w:val="clear" w:color="D3ABD3" w:themeColor="accent6" w:themeTint="75" w:fill="D3ABD3" w:themeFill="accent6"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pPr>
      <w:spacing w:after="0" w:line="240" w:lineRule="auto"/>
    </w:pPr>
    <w:tblPr>
      <w:tblStyleRowBandSize w:val="1"/>
      <w:tblStyleColBandSize w:val="1"/>
      <w:tblBorders>
        <w:top w:val="single" w:sz="4" w:space="0" w:color="45B5FF" w:themeColor="accent1" w:themeTint="80"/>
        <w:left w:val="single" w:sz="4" w:space="0" w:color="45B5FF" w:themeColor="accent1" w:themeTint="80"/>
        <w:bottom w:val="single" w:sz="4" w:space="0" w:color="45B5FF" w:themeColor="accent1" w:themeTint="80"/>
        <w:right w:val="single" w:sz="4" w:space="0" w:color="45B5FF" w:themeColor="accent1" w:themeTint="80"/>
        <w:insideH w:val="single" w:sz="4" w:space="0" w:color="45B5FF" w:themeColor="accent1" w:themeTint="80"/>
        <w:insideV w:val="single" w:sz="4" w:space="0" w:color="45B5FF" w:themeColor="accent1" w:themeTint="80"/>
      </w:tblBorders>
    </w:tblPr>
    <w:tblStylePr w:type="firstRow">
      <w:rPr>
        <w:b/>
        <w:color w:val="45B5FF" w:themeColor="accent1" w:themeTint="80" w:themeShade="95"/>
      </w:rPr>
      <w:tblPr/>
      <w:tcPr>
        <w:tcBorders>
          <w:bottom w:val="single" w:sz="12" w:space="0" w:color="45B5FF" w:themeColor="accent1" w:themeTint="80"/>
        </w:tcBorders>
      </w:tcPr>
    </w:tblStylePr>
    <w:tblStylePr w:type="lastRow">
      <w:rPr>
        <w:b/>
        <w:color w:val="45B5FF" w:themeColor="accent1" w:themeTint="80" w:themeShade="95"/>
      </w:rPr>
    </w:tblStylePr>
    <w:tblStylePr w:type="firstCol">
      <w:rPr>
        <w:b/>
        <w:color w:val="45B5FF" w:themeColor="accent1" w:themeTint="80" w:themeShade="95"/>
      </w:rPr>
    </w:tblStylePr>
    <w:tblStylePr w:type="lastCol">
      <w:rPr>
        <w:b/>
        <w:color w:val="45B5FF" w:themeColor="accent1" w:themeTint="80" w:themeShade="95"/>
      </w:rPr>
    </w:tblStylePr>
    <w:tblStylePr w:type="band1Vert">
      <w:tblPr/>
      <w:tcPr>
        <w:shd w:val="clear" w:color="B3E1FF" w:themeColor="accent1" w:themeTint="34" w:fill="B3E1FF" w:themeFill="accent1" w:themeFillTint="34"/>
      </w:tcPr>
    </w:tblStylePr>
    <w:tblStylePr w:type="band1Horz">
      <w:rPr>
        <w:rFonts w:ascii="Arial" w:hAnsi="Arial"/>
        <w:color w:val="45B5FF" w:themeColor="accent1" w:themeTint="80" w:themeShade="95"/>
        <w:sz w:val="22"/>
      </w:rPr>
      <w:tblPr/>
      <w:tcPr>
        <w:shd w:val="clear" w:color="B3E1FF" w:themeColor="accent1" w:themeTint="34" w:fill="B3E1FF" w:themeFill="accent1" w:themeFillTint="34"/>
      </w:tcPr>
    </w:tblStylePr>
    <w:tblStylePr w:type="band2Horz">
      <w:rPr>
        <w:rFonts w:ascii="Arial" w:hAnsi="Arial"/>
        <w:color w:val="45B5FF" w:themeColor="accent1" w:themeTint="80" w:themeShade="95"/>
        <w:sz w:val="22"/>
      </w:r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57CCFF" w:themeColor="accent2" w:themeTint="97"/>
        <w:left w:val="single" w:sz="4" w:space="0" w:color="57CCFF" w:themeColor="accent2" w:themeTint="97"/>
        <w:bottom w:val="single" w:sz="4" w:space="0" w:color="57CCFF" w:themeColor="accent2" w:themeTint="97"/>
        <w:right w:val="single" w:sz="4" w:space="0" w:color="57CCFF" w:themeColor="accent2" w:themeTint="97"/>
        <w:insideH w:val="single" w:sz="4" w:space="0" w:color="57CCFF" w:themeColor="accent2" w:themeTint="97"/>
        <w:insideV w:val="single" w:sz="4" w:space="0" w:color="57CCFF" w:themeColor="accent2" w:themeTint="97"/>
      </w:tblBorders>
    </w:tblPr>
    <w:tblStylePr w:type="firstRow">
      <w:rPr>
        <w:b/>
        <w:color w:val="57CCFF" w:themeColor="accent2" w:themeTint="97" w:themeShade="95"/>
      </w:rPr>
      <w:tblPr/>
      <w:tcPr>
        <w:tcBorders>
          <w:bottom w:val="single" w:sz="12" w:space="0" w:color="57CCFF" w:themeColor="accent2" w:themeTint="97"/>
        </w:tcBorders>
      </w:tcPr>
    </w:tblStylePr>
    <w:tblStylePr w:type="lastRow">
      <w:rPr>
        <w:b/>
        <w:color w:val="57CCFF" w:themeColor="accent2" w:themeTint="97" w:themeShade="95"/>
      </w:rPr>
    </w:tblStylePr>
    <w:tblStylePr w:type="firstCol">
      <w:rPr>
        <w:b/>
        <w:color w:val="57CCFF" w:themeColor="accent2" w:themeTint="97" w:themeShade="95"/>
      </w:rPr>
    </w:tblStylePr>
    <w:tblStylePr w:type="lastCol">
      <w:rPr>
        <w:b/>
        <w:color w:val="57CCFF" w:themeColor="accent2" w:themeTint="97" w:themeShade="95"/>
      </w:rPr>
    </w:tblStylePr>
    <w:tblStylePr w:type="band1Vert">
      <w:tblPr/>
      <w:tcPr>
        <w:shd w:val="clear" w:color="C7EEFF" w:themeColor="accent2" w:themeTint="32" w:fill="C7EEFF" w:themeFill="accent2" w:themeFillTint="32"/>
      </w:tcPr>
    </w:tblStylePr>
    <w:tblStylePr w:type="band1Horz">
      <w:rPr>
        <w:rFonts w:ascii="Arial" w:hAnsi="Arial"/>
        <w:color w:val="57CCFF" w:themeColor="accent2" w:themeTint="97" w:themeShade="95"/>
        <w:sz w:val="22"/>
      </w:rPr>
      <w:tblPr/>
      <w:tcPr>
        <w:shd w:val="clear" w:color="C7EEFF" w:themeColor="accent2" w:themeTint="32" w:fill="C7EEFF" w:themeFill="accent2" w:themeFillTint="32"/>
      </w:tcPr>
    </w:tblStylePr>
    <w:tblStylePr w:type="band2Horz">
      <w:rPr>
        <w:rFonts w:ascii="Arial" w:hAnsi="Arial"/>
        <w:color w:val="57CCFF"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00B1A9" w:themeColor="accent3" w:themeTint="FE"/>
        <w:left w:val="single" w:sz="4" w:space="0" w:color="00B1A9" w:themeColor="accent3" w:themeTint="FE"/>
        <w:bottom w:val="single" w:sz="4" w:space="0" w:color="00B1A9" w:themeColor="accent3" w:themeTint="FE"/>
        <w:right w:val="single" w:sz="4" w:space="0" w:color="00B1A9" w:themeColor="accent3" w:themeTint="FE"/>
        <w:insideH w:val="single" w:sz="4" w:space="0" w:color="00B1A9" w:themeColor="accent3" w:themeTint="FE"/>
        <w:insideV w:val="single" w:sz="4" w:space="0" w:color="00B1A9" w:themeColor="accent3" w:themeTint="FE"/>
      </w:tblBorders>
    </w:tblPr>
    <w:tblStylePr w:type="firstRow">
      <w:rPr>
        <w:b/>
        <w:color w:val="00B1A9" w:themeColor="accent3" w:themeTint="FE" w:themeShade="95"/>
      </w:rPr>
      <w:tblPr/>
      <w:tcPr>
        <w:tcBorders>
          <w:bottom w:val="single" w:sz="12" w:space="0" w:color="00B1A9" w:themeColor="accent3" w:themeTint="FE"/>
        </w:tcBorders>
      </w:tcPr>
    </w:tblStylePr>
    <w:tblStylePr w:type="lastRow">
      <w:rPr>
        <w:b/>
        <w:color w:val="00B1A9" w:themeColor="accent3" w:themeTint="FE" w:themeShade="95"/>
      </w:rPr>
    </w:tblStylePr>
    <w:tblStylePr w:type="firstCol">
      <w:rPr>
        <w:b/>
        <w:color w:val="00B1A9" w:themeColor="accent3" w:themeTint="FE" w:themeShade="95"/>
      </w:rPr>
    </w:tblStylePr>
    <w:tblStylePr w:type="lastCol">
      <w:rPr>
        <w:b/>
        <w:color w:val="00B1A9" w:themeColor="accent3" w:themeTint="FE" w:themeShade="95"/>
      </w:rPr>
    </w:tblStylePr>
    <w:tblStylePr w:type="band1Vert">
      <w:tblPr/>
      <w:tcPr>
        <w:shd w:val="clear" w:color="BAFFFC" w:themeColor="accent3" w:themeTint="34" w:fill="BAFFFC" w:themeFill="accent3" w:themeFillTint="34"/>
      </w:tcPr>
    </w:tblStylePr>
    <w:tblStylePr w:type="band1Horz">
      <w:rPr>
        <w:rFonts w:ascii="Arial" w:hAnsi="Arial"/>
        <w:color w:val="00B1A9" w:themeColor="accent3" w:themeTint="FE" w:themeShade="95"/>
        <w:sz w:val="22"/>
      </w:rPr>
      <w:tblPr/>
      <w:tcPr>
        <w:shd w:val="clear" w:color="BAFFFC" w:themeColor="accent3" w:themeTint="34" w:fill="BAFFFC" w:themeFill="accent3" w:themeFillTint="34"/>
      </w:tcPr>
    </w:tblStylePr>
    <w:tblStylePr w:type="band2Horz">
      <w:rPr>
        <w:rFonts w:ascii="Arial" w:hAnsi="Arial"/>
        <w:color w:val="00B1A9"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48EDFF" w:themeColor="accent4" w:themeTint="9A"/>
        <w:left w:val="single" w:sz="4" w:space="0" w:color="48EDFF" w:themeColor="accent4" w:themeTint="9A"/>
        <w:bottom w:val="single" w:sz="4" w:space="0" w:color="48EDFF" w:themeColor="accent4" w:themeTint="9A"/>
        <w:right w:val="single" w:sz="4" w:space="0" w:color="48EDFF" w:themeColor="accent4" w:themeTint="9A"/>
        <w:insideH w:val="single" w:sz="4" w:space="0" w:color="48EDFF" w:themeColor="accent4" w:themeTint="9A"/>
        <w:insideV w:val="single" w:sz="4" w:space="0" w:color="48EDFF" w:themeColor="accent4" w:themeTint="9A"/>
      </w:tblBorders>
    </w:tblPr>
    <w:tblStylePr w:type="firstRow">
      <w:rPr>
        <w:b/>
        <w:color w:val="48EDFF" w:themeColor="accent4" w:themeTint="9A" w:themeShade="95"/>
      </w:rPr>
      <w:tblPr/>
      <w:tcPr>
        <w:tcBorders>
          <w:bottom w:val="single" w:sz="12" w:space="0" w:color="48EDFF" w:themeColor="accent4" w:themeTint="9A"/>
        </w:tcBorders>
      </w:tcPr>
    </w:tblStylePr>
    <w:tblStylePr w:type="lastRow">
      <w:rPr>
        <w:b/>
        <w:color w:val="48EDFF" w:themeColor="accent4" w:themeTint="9A" w:themeShade="95"/>
      </w:rPr>
    </w:tblStylePr>
    <w:tblStylePr w:type="firstCol">
      <w:rPr>
        <w:b/>
        <w:color w:val="48EDFF" w:themeColor="accent4" w:themeTint="9A" w:themeShade="95"/>
      </w:rPr>
    </w:tblStylePr>
    <w:tblStylePr w:type="lastCol">
      <w:rPr>
        <w:b/>
        <w:color w:val="48EDFF" w:themeColor="accent4" w:themeTint="9A" w:themeShade="95"/>
      </w:rPr>
    </w:tblStylePr>
    <w:tblStylePr w:type="band1Vert">
      <w:tblPr/>
      <w:tcPr>
        <w:shd w:val="clear" w:color="C1F8FF" w:themeColor="accent4" w:themeTint="34" w:fill="C1F8FF" w:themeFill="accent4" w:themeFillTint="34"/>
      </w:tcPr>
    </w:tblStylePr>
    <w:tblStylePr w:type="band1Horz">
      <w:rPr>
        <w:rFonts w:ascii="Arial" w:hAnsi="Arial"/>
        <w:color w:val="48EDFF" w:themeColor="accent4" w:themeTint="9A" w:themeShade="95"/>
        <w:sz w:val="22"/>
      </w:rPr>
      <w:tblPr/>
      <w:tcPr>
        <w:shd w:val="clear" w:color="C1F8FF" w:themeColor="accent4" w:themeTint="34" w:fill="C1F8FF" w:themeFill="accent4" w:themeFillTint="34"/>
      </w:tcPr>
    </w:tblStylePr>
    <w:tblStylePr w:type="band2Horz">
      <w:rPr>
        <w:rFonts w:ascii="Arial" w:hAnsi="Arial"/>
        <w:color w:val="48EDFF"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6787C4" w:themeColor="accent5"/>
        <w:left w:val="single" w:sz="4" w:space="0" w:color="6787C4" w:themeColor="accent5"/>
        <w:bottom w:val="single" w:sz="4" w:space="0" w:color="6787C4" w:themeColor="accent5"/>
        <w:right w:val="single" w:sz="4" w:space="0" w:color="6787C4" w:themeColor="accent5"/>
        <w:insideH w:val="single" w:sz="4" w:space="0" w:color="6787C4" w:themeColor="accent5"/>
        <w:insideV w:val="single" w:sz="4" w:space="0" w:color="6787C4" w:themeColor="accent5"/>
      </w:tblBorders>
    </w:tblPr>
    <w:tblStylePr w:type="firstRow">
      <w:rPr>
        <w:b/>
        <w:color w:val="314B7D" w:themeColor="accent5" w:themeShade="95"/>
      </w:rPr>
      <w:tblPr/>
      <w:tcPr>
        <w:tcBorders>
          <w:bottom w:val="single" w:sz="12" w:space="0" w:color="6787C4" w:themeColor="accent5"/>
        </w:tcBorders>
      </w:tcPr>
    </w:tblStylePr>
    <w:tblStylePr w:type="lastRow">
      <w:rPr>
        <w:b/>
        <w:color w:val="314B7D" w:themeColor="accent5" w:themeShade="95"/>
      </w:rPr>
    </w:tblStylePr>
    <w:tblStylePr w:type="firstCol">
      <w:rPr>
        <w:b/>
        <w:color w:val="314B7D" w:themeColor="accent5" w:themeShade="95"/>
      </w:rPr>
    </w:tblStylePr>
    <w:tblStylePr w:type="lastCol">
      <w:rPr>
        <w:b/>
        <w:color w:val="314B7D" w:themeColor="accent5" w:themeShade="95"/>
      </w:rPr>
    </w:tblStylePr>
    <w:tblStylePr w:type="band1Vert">
      <w:tblPr/>
      <w:tcPr>
        <w:shd w:val="clear" w:color="DFE6F3" w:themeColor="accent5" w:themeTint="34" w:fill="DFE6F3" w:themeFill="accent5" w:themeFillTint="34"/>
      </w:tcPr>
    </w:tblStylePr>
    <w:tblStylePr w:type="band1Horz">
      <w:rPr>
        <w:rFonts w:ascii="Arial" w:hAnsi="Arial"/>
        <w:color w:val="314B7D" w:themeColor="accent5" w:themeShade="95"/>
        <w:sz w:val="22"/>
      </w:rPr>
      <w:tblPr/>
      <w:tcPr>
        <w:shd w:val="clear" w:color="DFE6F3" w:themeColor="accent5" w:themeTint="34" w:fill="DFE6F3" w:themeFill="accent5" w:themeFillTint="34"/>
      </w:tcPr>
    </w:tblStylePr>
    <w:tblStylePr w:type="band2Horz">
      <w:rPr>
        <w:rFonts w:ascii="Arial" w:hAnsi="Arial"/>
        <w:color w:val="314B7D"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99509A" w:themeColor="accent6"/>
        <w:left w:val="single" w:sz="4" w:space="0" w:color="99509A" w:themeColor="accent6"/>
        <w:bottom w:val="single" w:sz="4" w:space="0" w:color="99509A" w:themeColor="accent6"/>
        <w:right w:val="single" w:sz="4" w:space="0" w:color="99509A" w:themeColor="accent6"/>
        <w:insideH w:val="single" w:sz="4" w:space="0" w:color="99509A" w:themeColor="accent6"/>
        <w:insideV w:val="single" w:sz="4" w:space="0" w:color="99509A" w:themeColor="accent6"/>
      </w:tblBorders>
    </w:tblPr>
    <w:tblStylePr w:type="firstRow">
      <w:rPr>
        <w:b/>
        <w:color w:val="314B7D" w:themeColor="accent5" w:themeShade="95"/>
      </w:rPr>
      <w:tblPr/>
      <w:tcPr>
        <w:tcBorders>
          <w:bottom w:val="single" w:sz="12" w:space="0" w:color="99509A" w:themeColor="accent6"/>
        </w:tcBorders>
      </w:tcPr>
    </w:tblStylePr>
    <w:tblStylePr w:type="lastRow">
      <w:rPr>
        <w:b/>
        <w:color w:val="314B7D" w:themeColor="accent5" w:themeShade="95"/>
      </w:rPr>
    </w:tblStylePr>
    <w:tblStylePr w:type="firstCol">
      <w:rPr>
        <w:b/>
        <w:color w:val="314B7D" w:themeColor="accent5" w:themeShade="95"/>
      </w:rPr>
    </w:tblStylePr>
    <w:tblStylePr w:type="lastCol">
      <w:rPr>
        <w:b/>
        <w:color w:val="314B7D" w:themeColor="accent5" w:themeShade="95"/>
      </w:rPr>
    </w:tblStylePr>
    <w:tblStylePr w:type="band1Vert">
      <w:tblPr/>
      <w:tcPr>
        <w:shd w:val="clear" w:color="EBD9EB" w:themeColor="accent6" w:themeTint="34" w:fill="EBD9EB" w:themeFill="accent6" w:themeFillTint="34"/>
      </w:tcPr>
    </w:tblStylePr>
    <w:tblStylePr w:type="band1Horz">
      <w:rPr>
        <w:rFonts w:ascii="Arial" w:hAnsi="Arial"/>
        <w:color w:val="314B7D" w:themeColor="accent5" w:themeShade="95"/>
        <w:sz w:val="22"/>
      </w:rPr>
      <w:tblPr/>
      <w:tcPr>
        <w:shd w:val="clear" w:color="EBD9EB" w:themeColor="accent6" w:themeTint="34" w:fill="EBD9EB" w:themeFill="accent6" w:themeFillTint="34"/>
      </w:tcPr>
    </w:tblStylePr>
    <w:tblStylePr w:type="band2Horz">
      <w:rPr>
        <w:rFonts w:ascii="Arial" w:hAnsi="Arial"/>
        <w:color w:val="314B7D" w:themeColor="accent5"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45B5FF" w:themeColor="accent1" w:themeTint="80"/>
        <w:right w:val="single" w:sz="4" w:space="0" w:color="45B5FF" w:themeColor="accent1" w:themeTint="80"/>
        <w:insideH w:val="single" w:sz="4" w:space="0" w:color="45B5FF" w:themeColor="accent1" w:themeTint="80"/>
        <w:insideV w:val="single" w:sz="4" w:space="0" w:color="45B5FF" w:themeColor="accent1" w:themeTint="80"/>
      </w:tblBorders>
    </w:tblPr>
    <w:tblStylePr w:type="firstRow">
      <w:rPr>
        <w:rFonts w:ascii="Arial" w:hAnsi="Arial"/>
        <w:b/>
        <w:color w:val="45B5FF" w:themeColor="accent1" w:themeTint="80" w:themeShade="95"/>
        <w:sz w:val="22"/>
      </w:rPr>
      <w:tblPr/>
      <w:tcPr>
        <w:tcBorders>
          <w:top w:val="none" w:sz="0" w:space="0" w:color="auto"/>
          <w:left w:val="none" w:sz="0" w:space="0" w:color="auto"/>
          <w:bottom w:val="single" w:sz="4" w:space="0" w:color="45B5FF" w:themeColor="accent1" w:themeTint="80"/>
          <w:right w:val="none" w:sz="0" w:space="0" w:color="auto"/>
        </w:tcBorders>
        <w:shd w:val="clear" w:color="FFFFFF" w:themeColor="light1" w:fill="FFFFFF" w:themeFill="light1"/>
      </w:tcPr>
    </w:tblStylePr>
    <w:tblStylePr w:type="lastRow">
      <w:rPr>
        <w:rFonts w:ascii="Arial" w:hAnsi="Arial"/>
        <w:b/>
        <w:color w:val="45B5FF" w:themeColor="accent1" w:themeTint="80" w:themeShade="95"/>
        <w:sz w:val="22"/>
      </w:rPr>
      <w:tblPr/>
      <w:tcPr>
        <w:tcBorders>
          <w:top w:val="single" w:sz="4" w:space="0" w:color="45B5FF"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5B5FF" w:themeColor="accent1" w:themeTint="80" w:themeShade="95"/>
        <w:sz w:val="22"/>
      </w:rPr>
      <w:tblPr/>
      <w:tcPr>
        <w:tcBorders>
          <w:top w:val="none" w:sz="0" w:space="0" w:color="auto"/>
          <w:left w:val="none" w:sz="0" w:space="0" w:color="auto"/>
          <w:bottom w:val="none" w:sz="0" w:space="0" w:color="auto"/>
          <w:right w:val="single" w:sz="4" w:space="0" w:color="45B5FF" w:themeColor="accent1" w:themeTint="80"/>
        </w:tcBorders>
        <w:shd w:val="clear" w:color="FFFFFF" w:fill="auto"/>
      </w:tcPr>
    </w:tblStylePr>
    <w:tblStylePr w:type="lastCol">
      <w:rPr>
        <w:rFonts w:ascii="Arial" w:hAnsi="Arial"/>
        <w:i/>
        <w:color w:val="45B5FF" w:themeColor="accent1" w:themeTint="80" w:themeShade="95"/>
        <w:sz w:val="22"/>
      </w:rPr>
      <w:tblPr/>
      <w:tcPr>
        <w:tcBorders>
          <w:top w:val="none" w:sz="0" w:space="0" w:color="auto"/>
          <w:left w:val="single" w:sz="4" w:space="0" w:color="45B5FF" w:themeColor="accent1" w:themeTint="80"/>
          <w:bottom w:val="none" w:sz="0" w:space="0" w:color="auto"/>
          <w:right w:val="none" w:sz="0" w:space="0" w:color="auto"/>
        </w:tcBorders>
        <w:shd w:val="clear" w:color="FFFFFF" w:fill="auto"/>
      </w:tcPr>
    </w:tblStylePr>
    <w:tblStylePr w:type="band1Vert">
      <w:tblPr/>
      <w:tcPr>
        <w:shd w:val="clear" w:color="B3E1FF" w:themeColor="accent1" w:themeTint="34" w:fill="B3E1FF" w:themeFill="accent1" w:themeFillTint="34"/>
      </w:tcPr>
    </w:tblStylePr>
    <w:tblStylePr w:type="band1Horz">
      <w:rPr>
        <w:rFonts w:ascii="Arial" w:hAnsi="Arial"/>
        <w:color w:val="45B5FF" w:themeColor="accent1" w:themeTint="80" w:themeShade="95"/>
        <w:sz w:val="22"/>
      </w:rPr>
      <w:tblPr/>
      <w:tcPr>
        <w:shd w:val="clear" w:color="B3E1FF" w:themeColor="accent1" w:themeTint="34" w:fill="B3E1FF" w:themeFill="accent1" w:themeFillTint="34"/>
      </w:tcPr>
    </w:tblStylePr>
    <w:tblStylePr w:type="band2Horz">
      <w:rPr>
        <w:rFonts w:ascii="Arial" w:hAnsi="Arial"/>
        <w:color w:val="45B5FF"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57CCFF" w:themeColor="accent2" w:themeTint="97"/>
        <w:right w:val="single" w:sz="4" w:space="0" w:color="57CCFF" w:themeColor="accent2" w:themeTint="97"/>
        <w:insideH w:val="single" w:sz="4" w:space="0" w:color="57CCFF" w:themeColor="accent2" w:themeTint="97"/>
        <w:insideV w:val="single" w:sz="4" w:space="0" w:color="57CCFF" w:themeColor="accent2" w:themeTint="97"/>
      </w:tblBorders>
    </w:tblPr>
    <w:tblStylePr w:type="firstRow">
      <w:rPr>
        <w:rFonts w:ascii="Arial" w:hAnsi="Arial"/>
        <w:b/>
        <w:color w:val="57CCFF" w:themeColor="accent2" w:themeTint="97" w:themeShade="95"/>
        <w:sz w:val="22"/>
      </w:rPr>
      <w:tblPr/>
      <w:tcPr>
        <w:tcBorders>
          <w:top w:val="none" w:sz="0" w:space="0" w:color="auto"/>
          <w:left w:val="none" w:sz="0" w:space="0" w:color="auto"/>
          <w:bottom w:val="single" w:sz="4" w:space="0" w:color="57CCFF" w:themeColor="accent2" w:themeTint="97"/>
          <w:right w:val="none" w:sz="0" w:space="0" w:color="auto"/>
        </w:tcBorders>
        <w:shd w:val="clear" w:color="FFFFFF" w:themeColor="light1" w:fill="FFFFFF" w:themeFill="light1"/>
      </w:tcPr>
    </w:tblStylePr>
    <w:tblStylePr w:type="lastRow">
      <w:rPr>
        <w:rFonts w:ascii="Arial" w:hAnsi="Arial"/>
        <w:b/>
        <w:color w:val="57CCFF" w:themeColor="accent2" w:themeTint="97" w:themeShade="95"/>
        <w:sz w:val="22"/>
      </w:rPr>
      <w:tblPr/>
      <w:tcPr>
        <w:tcBorders>
          <w:top w:val="single" w:sz="4" w:space="0" w:color="57CCFF"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7CCFF" w:themeColor="accent2" w:themeTint="97" w:themeShade="95"/>
        <w:sz w:val="22"/>
      </w:rPr>
      <w:tblPr/>
      <w:tcPr>
        <w:tcBorders>
          <w:top w:val="none" w:sz="0" w:space="0" w:color="auto"/>
          <w:left w:val="none" w:sz="0" w:space="0" w:color="auto"/>
          <w:bottom w:val="none" w:sz="0" w:space="0" w:color="auto"/>
          <w:right w:val="single" w:sz="4" w:space="0" w:color="57CCFF" w:themeColor="accent2" w:themeTint="97"/>
        </w:tcBorders>
        <w:shd w:val="clear" w:color="FFFFFF" w:fill="auto"/>
      </w:tcPr>
    </w:tblStylePr>
    <w:tblStylePr w:type="lastCol">
      <w:rPr>
        <w:rFonts w:ascii="Arial" w:hAnsi="Arial"/>
        <w:i/>
        <w:color w:val="57CCFF" w:themeColor="accent2" w:themeTint="97" w:themeShade="95"/>
        <w:sz w:val="22"/>
      </w:rPr>
      <w:tblPr/>
      <w:tcPr>
        <w:tcBorders>
          <w:top w:val="none" w:sz="0" w:space="0" w:color="auto"/>
          <w:left w:val="single" w:sz="4" w:space="0" w:color="57CCFF" w:themeColor="accent2" w:themeTint="97"/>
          <w:bottom w:val="none" w:sz="0" w:space="0" w:color="auto"/>
          <w:right w:val="none" w:sz="0" w:space="0" w:color="auto"/>
        </w:tcBorders>
        <w:shd w:val="clear" w:color="FFFFFF" w:fill="auto"/>
      </w:tcPr>
    </w:tblStylePr>
    <w:tblStylePr w:type="band1Vert">
      <w:tblPr/>
      <w:tcPr>
        <w:shd w:val="clear" w:color="C7EEFF" w:themeColor="accent2" w:themeTint="32" w:fill="C7EEFF" w:themeFill="accent2" w:themeFillTint="32"/>
      </w:tcPr>
    </w:tblStylePr>
    <w:tblStylePr w:type="band1Horz">
      <w:rPr>
        <w:rFonts w:ascii="Arial" w:hAnsi="Arial"/>
        <w:color w:val="57CCFF" w:themeColor="accent2" w:themeTint="97" w:themeShade="95"/>
        <w:sz w:val="22"/>
      </w:rPr>
      <w:tblPr/>
      <w:tcPr>
        <w:shd w:val="clear" w:color="C7EEFF" w:themeColor="accent2" w:themeTint="32" w:fill="C7EEFF" w:themeFill="accent2" w:themeFillTint="32"/>
      </w:tcPr>
    </w:tblStylePr>
    <w:tblStylePr w:type="band2Horz">
      <w:rPr>
        <w:rFonts w:ascii="Arial" w:hAnsi="Arial"/>
        <w:color w:val="57CCFF"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00B1A9" w:themeColor="accent3" w:themeTint="FE"/>
        <w:right w:val="single" w:sz="4" w:space="0" w:color="00B1A9" w:themeColor="accent3" w:themeTint="FE"/>
        <w:insideH w:val="single" w:sz="4" w:space="0" w:color="00B1A9" w:themeColor="accent3" w:themeTint="FE"/>
        <w:insideV w:val="single" w:sz="4" w:space="0" w:color="00B1A9" w:themeColor="accent3" w:themeTint="FE"/>
      </w:tblBorders>
    </w:tblPr>
    <w:tblStylePr w:type="firstRow">
      <w:rPr>
        <w:rFonts w:ascii="Arial" w:hAnsi="Arial"/>
        <w:b/>
        <w:color w:val="00B1A9" w:themeColor="accent3" w:themeTint="FE" w:themeShade="95"/>
        <w:sz w:val="22"/>
      </w:rPr>
      <w:tblPr/>
      <w:tcPr>
        <w:tcBorders>
          <w:top w:val="none" w:sz="0" w:space="0" w:color="auto"/>
          <w:left w:val="none" w:sz="0" w:space="0" w:color="auto"/>
          <w:bottom w:val="single" w:sz="4" w:space="0" w:color="00B1A9" w:themeColor="accent3" w:themeTint="FE"/>
          <w:right w:val="none" w:sz="0" w:space="0" w:color="auto"/>
        </w:tcBorders>
        <w:shd w:val="clear" w:color="FFFFFF" w:themeColor="light1" w:fill="FFFFFF" w:themeFill="light1"/>
      </w:tcPr>
    </w:tblStylePr>
    <w:tblStylePr w:type="lastRow">
      <w:rPr>
        <w:rFonts w:ascii="Arial" w:hAnsi="Arial"/>
        <w:b/>
        <w:color w:val="00B1A9" w:themeColor="accent3" w:themeTint="FE" w:themeShade="95"/>
        <w:sz w:val="22"/>
      </w:rPr>
      <w:tblPr/>
      <w:tcPr>
        <w:tcBorders>
          <w:top w:val="single" w:sz="4" w:space="0" w:color="00B1A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0B1A9" w:themeColor="accent3" w:themeTint="FE" w:themeShade="95"/>
        <w:sz w:val="22"/>
      </w:rPr>
      <w:tblPr/>
      <w:tcPr>
        <w:tcBorders>
          <w:top w:val="none" w:sz="0" w:space="0" w:color="auto"/>
          <w:left w:val="none" w:sz="0" w:space="0" w:color="auto"/>
          <w:bottom w:val="none" w:sz="0" w:space="0" w:color="auto"/>
          <w:right w:val="single" w:sz="4" w:space="0" w:color="00B1A9" w:themeColor="accent3" w:themeTint="FE"/>
        </w:tcBorders>
        <w:shd w:val="clear" w:color="FFFFFF" w:fill="auto"/>
      </w:tcPr>
    </w:tblStylePr>
    <w:tblStylePr w:type="lastCol">
      <w:rPr>
        <w:rFonts w:ascii="Arial" w:hAnsi="Arial"/>
        <w:i/>
        <w:color w:val="00B1A9" w:themeColor="accent3" w:themeTint="FE" w:themeShade="95"/>
        <w:sz w:val="22"/>
      </w:rPr>
      <w:tblPr/>
      <w:tcPr>
        <w:tcBorders>
          <w:top w:val="none" w:sz="0" w:space="0" w:color="auto"/>
          <w:left w:val="single" w:sz="4" w:space="0" w:color="00B1A9" w:themeColor="accent3" w:themeTint="FE"/>
          <w:bottom w:val="none" w:sz="0" w:space="0" w:color="auto"/>
          <w:right w:val="none" w:sz="0" w:space="0" w:color="auto"/>
        </w:tcBorders>
        <w:shd w:val="clear" w:color="FFFFFF" w:fill="auto"/>
      </w:tcPr>
    </w:tblStylePr>
    <w:tblStylePr w:type="band1Vert">
      <w:tblPr/>
      <w:tcPr>
        <w:shd w:val="clear" w:color="BAFFFC" w:themeColor="accent3" w:themeTint="34" w:fill="BAFFFC" w:themeFill="accent3" w:themeFillTint="34"/>
      </w:tcPr>
    </w:tblStylePr>
    <w:tblStylePr w:type="band1Horz">
      <w:rPr>
        <w:rFonts w:ascii="Arial" w:hAnsi="Arial"/>
        <w:color w:val="00B1A9" w:themeColor="accent3" w:themeTint="FE" w:themeShade="95"/>
        <w:sz w:val="22"/>
      </w:rPr>
      <w:tblPr/>
      <w:tcPr>
        <w:shd w:val="clear" w:color="BAFFFC" w:themeColor="accent3" w:themeTint="34" w:fill="BAFFFC" w:themeFill="accent3" w:themeFillTint="34"/>
      </w:tcPr>
    </w:tblStylePr>
    <w:tblStylePr w:type="band2Horz">
      <w:rPr>
        <w:rFonts w:ascii="Arial" w:hAnsi="Arial"/>
        <w:color w:val="00B1A9"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48EDFF" w:themeColor="accent4" w:themeTint="9A"/>
        <w:right w:val="single" w:sz="4" w:space="0" w:color="48EDFF" w:themeColor="accent4" w:themeTint="9A"/>
        <w:insideH w:val="single" w:sz="4" w:space="0" w:color="48EDFF" w:themeColor="accent4" w:themeTint="9A"/>
        <w:insideV w:val="single" w:sz="4" w:space="0" w:color="48EDFF" w:themeColor="accent4" w:themeTint="9A"/>
      </w:tblBorders>
    </w:tblPr>
    <w:tblStylePr w:type="firstRow">
      <w:rPr>
        <w:rFonts w:ascii="Arial" w:hAnsi="Arial"/>
        <w:b/>
        <w:color w:val="48EDFF" w:themeColor="accent4" w:themeTint="9A" w:themeShade="95"/>
        <w:sz w:val="22"/>
      </w:rPr>
      <w:tblPr/>
      <w:tcPr>
        <w:tcBorders>
          <w:top w:val="none" w:sz="0" w:space="0" w:color="auto"/>
          <w:left w:val="none" w:sz="0" w:space="0" w:color="auto"/>
          <w:bottom w:val="single" w:sz="4" w:space="0" w:color="48EDFF" w:themeColor="accent4" w:themeTint="9A"/>
          <w:right w:val="none" w:sz="0" w:space="0" w:color="auto"/>
        </w:tcBorders>
        <w:shd w:val="clear" w:color="FFFFFF" w:themeColor="light1" w:fill="FFFFFF" w:themeFill="light1"/>
      </w:tcPr>
    </w:tblStylePr>
    <w:tblStylePr w:type="lastRow">
      <w:rPr>
        <w:rFonts w:ascii="Arial" w:hAnsi="Arial"/>
        <w:b/>
        <w:color w:val="48EDFF" w:themeColor="accent4" w:themeTint="9A" w:themeShade="95"/>
        <w:sz w:val="22"/>
      </w:rPr>
      <w:tblPr/>
      <w:tcPr>
        <w:tcBorders>
          <w:top w:val="single" w:sz="4" w:space="0" w:color="48EDFF"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8EDFF" w:themeColor="accent4" w:themeTint="9A" w:themeShade="95"/>
        <w:sz w:val="22"/>
      </w:rPr>
      <w:tblPr/>
      <w:tcPr>
        <w:tcBorders>
          <w:top w:val="none" w:sz="0" w:space="0" w:color="auto"/>
          <w:left w:val="none" w:sz="0" w:space="0" w:color="auto"/>
          <w:bottom w:val="none" w:sz="0" w:space="0" w:color="auto"/>
          <w:right w:val="single" w:sz="4" w:space="0" w:color="48EDFF" w:themeColor="accent4" w:themeTint="9A"/>
        </w:tcBorders>
        <w:shd w:val="clear" w:color="FFFFFF" w:fill="auto"/>
      </w:tcPr>
    </w:tblStylePr>
    <w:tblStylePr w:type="lastCol">
      <w:rPr>
        <w:rFonts w:ascii="Arial" w:hAnsi="Arial"/>
        <w:i/>
        <w:color w:val="48EDFF" w:themeColor="accent4" w:themeTint="9A" w:themeShade="95"/>
        <w:sz w:val="22"/>
      </w:rPr>
      <w:tblPr/>
      <w:tcPr>
        <w:tcBorders>
          <w:top w:val="none" w:sz="0" w:space="0" w:color="auto"/>
          <w:left w:val="single" w:sz="4" w:space="0" w:color="48EDFF" w:themeColor="accent4" w:themeTint="9A"/>
          <w:bottom w:val="none" w:sz="0" w:space="0" w:color="auto"/>
          <w:right w:val="none" w:sz="0" w:space="0" w:color="auto"/>
        </w:tcBorders>
        <w:shd w:val="clear" w:color="FFFFFF" w:fill="auto"/>
      </w:tcPr>
    </w:tblStylePr>
    <w:tblStylePr w:type="band1Vert">
      <w:tblPr/>
      <w:tcPr>
        <w:shd w:val="clear" w:color="C1F8FF" w:themeColor="accent4" w:themeTint="34" w:fill="C1F8FF" w:themeFill="accent4" w:themeFillTint="34"/>
      </w:tcPr>
    </w:tblStylePr>
    <w:tblStylePr w:type="band1Horz">
      <w:rPr>
        <w:rFonts w:ascii="Arial" w:hAnsi="Arial"/>
        <w:color w:val="48EDFF" w:themeColor="accent4" w:themeTint="9A" w:themeShade="95"/>
        <w:sz w:val="22"/>
      </w:rPr>
      <w:tblPr/>
      <w:tcPr>
        <w:shd w:val="clear" w:color="C1F8FF" w:themeColor="accent4" w:themeTint="34" w:fill="C1F8FF" w:themeFill="accent4" w:themeFillTint="34"/>
      </w:tcPr>
    </w:tblStylePr>
    <w:tblStylePr w:type="band2Horz">
      <w:rPr>
        <w:rFonts w:ascii="Arial" w:hAnsi="Arial"/>
        <w:color w:val="48EDFF"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A9BADD" w:themeColor="accent5" w:themeTint="90"/>
        <w:right w:val="single" w:sz="4" w:space="0" w:color="A9BADD" w:themeColor="accent5" w:themeTint="90"/>
        <w:insideH w:val="single" w:sz="4" w:space="0" w:color="A9BADD" w:themeColor="accent5" w:themeTint="90"/>
        <w:insideV w:val="single" w:sz="4" w:space="0" w:color="A9BADD" w:themeColor="accent5" w:themeTint="90"/>
      </w:tblBorders>
    </w:tblPr>
    <w:tblStylePr w:type="firstRow">
      <w:rPr>
        <w:rFonts w:ascii="Arial" w:hAnsi="Arial"/>
        <w:b/>
        <w:color w:val="314B7D" w:themeColor="accent5" w:themeShade="95"/>
        <w:sz w:val="22"/>
      </w:rPr>
      <w:tblPr/>
      <w:tcPr>
        <w:tcBorders>
          <w:top w:val="none" w:sz="0" w:space="0" w:color="auto"/>
          <w:left w:val="none" w:sz="0" w:space="0" w:color="auto"/>
          <w:bottom w:val="single" w:sz="4" w:space="0" w:color="A9BADD" w:themeColor="accent5" w:themeTint="90"/>
          <w:right w:val="none" w:sz="0" w:space="0" w:color="auto"/>
        </w:tcBorders>
        <w:shd w:val="clear" w:color="FFFFFF" w:themeColor="light1" w:fill="FFFFFF" w:themeFill="light1"/>
      </w:tcPr>
    </w:tblStylePr>
    <w:tblStylePr w:type="lastRow">
      <w:rPr>
        <w:rFonts w:ascii="Arial" w:hAnsi="Arial"/>
        <w:b/>
        <w:color w:val="314B7D" w:themeColor="accent5" w:themeShade="95"/>
        <w:sz w:val="22"/>
      </w:rPr>
      <w:tblPr/>
      <w:tcPr>
        <w:tcBorders>
          <w:top w:val="single" w:sz="4" w:space="0" w:color="A9BA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314B7D" w:themeColor="accent5" w:themeShade="95"/>
        <w:sz w:val="22"/>
      </w:rPr>
      <w:tblPr/>
      <w:tcPr>
        <w:tcBorders>
          <w:top w:val="none" w:sz="0" w:space="0" w:color="auto"/>
          <w:left w:val="none" w:sz="0" w:space="0" w:color="auto"/>
          <w:bottom w:val="none" w:sz="0" w:space="0" w:color="auto"/>
          <w:right w:val="single" w:sz="4" w:space="0" w:color="A9BADD" w:themeColor="accent5" w:themeTint="90"/>
        </w:tcBorders>
        <w:shd w:val="clear" w:color="FFFFFF" w:fill="auto"/>
      </w:tcPr>
    </w:tblStylePr>
    <w:tblStylePr w:type="lastCol">
      <w:rPr>
        <w:rFonts w:ascii="Arial" w:hAnsi="Arial"/>
        <w:i/>
        <w:color w:val="314B7D" w:themeColor="accent5" w:themeShade="95"/>
        <w:sz w:val="22"/>
      </w:rPr>
      <w:tblPr/>
      <w:tcPr>
        <w:tcBorders>
          <w:top w:val="none" w:sz="0" w:space="0" w:color="auto"/>
          <w:left w:val="single" w:sz="4" w:space="0" w:color="A9BADD" w:themeColor="accent5" w:themeTint="90"/>
          <w:bottom w:val="none" w:sz="0" w:space="0" w:color="auto"/>
          <w:right w:val="none" w:sz="0" w:space="0" w:color="auto"/>
        </w:tcBorders>
        <w:shd w:val="clear" w:color="FFFFFF" w:fill="auto"/>
      </w:tcPr>
    </w:tblStylePr>
    <w:tblStylePr w:type="band1Vert">
      <w:tblPr/>
      <w:tcPr>
        <w:shd w:val="clear" w:color="DFE6F3" w:themeColor="accent5" w:themeTint="34" w:fill="DFE6F3" w:themeFill="accent5" w:themeFillTint="34"/>
      </w:tcPr>
    </w:tblStylePr>
    <w:tblStylePr w:type="band1Horz">
      <w:rPr>
        <w:rFonts w:ascii="Arial" w:hAnsi="Arial"/>
        <w:color w:val="314B7D" w:themeColor="accent5" w:themeShade="95"/>
        <w:sz w:val="22"/>
      </w:rPr>
      <w:tblPr/>
      <w:tcPr>
        <w:shd w:val="clear" w:color="DFE6F3" w:themeColor="accent5" w:themeTint="34" w:fill="DFE6F3" w:themeFill="accent5" w:themeFillTint="34"/>
      </w:tcPr>
    </w:tblStylePr>
    <w:tblStylePr w:type="band2Horz">
      <w:rPr>
        <w:rFonts w:ascii="Arial" w:hAnsi="Arial"/>
        <w:color w:val="314B7D"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C898C9" w:themeColor="accent6" w:themeTint="90"/>
        <w:right w:val="single" w:sz="4" w:space="0" w:color="C898C9" w:themeColor="accent6" w:themeTint="90"/>
        <w:insideH w:val="single" w:sz="4" w:space="0" w:color="C898C9" w:themeColor="accent6" w:themeTint="90"/>
        <w:insideV w:val="single" w:sz="4" w:space="0" w:color="C898C9" w:themeColor="accent6" w:themeTint="90"/>
      </w:tblBorders>
    </w:tblPr>
    <w:tblStylePr w:type="firstRow">
      <w:rPr>
        <w:rFonts w:ascii="Arial" w:hAnsi="Arial"/>
        <w:b/>
        <w:color w:val="592E59" w:themeColor="accent6" w:themeShade="95"/>
        <w:sz w:val="22"/>
      </w:rPr>
      <w:tblPr/>
      <w:tcPr>
        <w:tcBorders>
          <w:top w:val="none" w:sz="0" w:space="0" w:color="auto"/>
          <w:left w:val="none" w:sz="0" w:space="0" w:color="auto"/>
          <w:bottom w:val="single" w:sz="4" w:space="0" w:color="C898C9" w:themeColor="accent6" w:themeTint="90"/>
          <w:right w:val="none" w:sz="0" w:space="0" w:color="auto"/>
        </w:tcBorders>
        <w:shd w:val="clear" w:color="FFFFFF" w:themeColor="light1" w:fill="FFFFFF" w:themeFill="light1"/>
      </w:tcPr>
    </w:tblStylePr>
    <w:tblStylePr w:type="lastRow">
      <w:rPr>
        <w:rFonts w:ascii="Arial" w:hAnsi="Arial"/>
        <w:b/>
        <w:color w:val="592E59" w:themeColor="accent6" w:themeShade="95"/>
        <w:sz w:val="22"/>
      </w:rPr>
      <w:tblPr/>
      <w:tcPr>
        <w:tcBorders>
          <w:top w:val="single" w:sz="4" w:space="0" w:color="C898C9"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92E59" w:themeColor="accent6" w:themeShade="95"/>
        <w:sz w:val="22"/>
      </w:rPr>
      <w:tblPr/>
      <w:tcPr>
        <w:tcBorders>
          <w:top w:val="none" w:sz="0" w:space="0" w:color="auto"/>
          <w:left w:val="none" w:sz="0" w:space="0" w:color="auto"/>
          <w:bottom w:val="none" w:sz="0" w:space="0" w:color="auto"/>
          <w:right w:val="single" w:sz="4" w:space="0" w:color="C898C9" w:themeColor="accent6" w:themeTint="90"/>
        </w:tcBorders>
        <w:shd w:val="clear" w:color="FFFFFF" w:fill="auto"/>
      </w:tcPr>
    </w:tblStylePr>
    <w:tblStylePr w:type="lastCol">
      <w:rPr>
        <w:rFonts w:ascii="Arial" w:hAnsi="Arial"/>
        <w:i/>
        <w:color w:val="592E59" w:themeColor="accent6" w:themeShade="95"/>
        <w:sz w:val="22"/>
      </w:rPr>
      <w:tblPr/>
      <w:tcPr>
        <w:tcBorders>
          <w:top w:val="none" w:sz="0" w:space="0" w:color="auto"/>
          <w:left w:val="single" w:sz="4" w:space="0" w:color="C898C9" w:themeColor="accent6" w:themeTint="90"/>
          <w:bottom w:val="none" w:sz="0" w:space="0" w:color="auto"/>
          <w:right w:val="none" w:sz="0" w:space="0" w:color="auto"/>
        </w:tcBorders>
        <w:shd w:val="clear" w:color="FFFFFF" w:fill="auto"/>
      </w:tcPr>
    </w:tblStylePr>
    <w:tblStylePr w:type="band1Vert">
      <w:tblPr/>
      <w:tcPr>
        <w:shd w:val="clear" w:color="EBD9EB" w:themeColor="accent6" w:themeTint="34" w:fill="EBD9EB" w:themeFill="accent6" w:themeFillTint="34"/>
      </w:tcPr>
    </w:tblStylePr>
    <w:tblStylePr w:type="band1Horz">
      <w:rPr>
        <w:rFonts w:ascii="Arial" w:hAnsi="Arial"/>
        <w:color w:val="592E59" w:themeColor="accent6" w:themeShade="95"/>
        <w:sz w:val="22"/>
      </w:rPr>
      <w:tblPr/>
      <w:tcPr>
        <w:shd w:val="clear" w:color="EBD9EB" w:themeColor="accent6" w:themeTint="34" w:fill="EBD9EB" w:themeFill="accent6" w:themeFillTint="34"/>
      </w:tcPr>
    </w:tblStylePr>
    <w:tblStylePr w:type="band2Horz">
      <w:rPr>
        <w:rFonts w:ascii="Arial" w:hAnsi="Arial"/>
        <w:color w:val="592E59" w:themeColor="accent6"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558C" w:themeColor="accent1"/>
          <w:right w:val="none" w:sz="4" w:space="0" w:color="000000"/>
        </w:tcBorders>
      </w:tcPr>
    </w:tblStylePr>
    <w:tblStylePr w:type="lastRow">
      <w:rPr>
        <w:b/>
        <w:color w:val="404040"/>
      </w:rPr>
      <w:tblPr/>
      <w:tcPr>
        <w:tcBorders>
          <w:top w:val="single" w:sz="4" w:space="0" w:color="00558C"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2DAFF" w:themeColor="accent1" w:themeTint="40" w:fill="A2DAFF" w:themeFill="accent1" w:themeFillTint="40"/>
      </w:tcPr>
    </w:tblStylePr>
    <w:tblStylePr w:type="band1Horz">
      <w:tblPr/>
      <w:tcPr>
        <w:shd w:val="clear" w:color="A2DAFF" w:themeColor="accent1" w:themeTint="40" w:fill="A2DAFF"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9FE3" w:themeColor="accent2"/>
          <w:right w:val="none" w:sz="4" w:space="0" w:color="000000"/>
        </w:tcBorders>
      </w:tcPr>
    </w:tblStylePr>
    <w:tblStylePr w:type="lastRow">
      <w:rPr>
        <w:b/>
        <w:color w:val="404040"/>
      </w:rPr>
      <w:tblPr/>
      <w:tcPr>
        <w:tcBorders>
          <w:top w:val="single" w:sz="4" w:space="0" w:color="009FE3"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7E9FF" w:themeColor="accent2" w:themeTint="40" w:fill="B7E9FF" w:themeFill="accent2" w:themeFillTint="40"/>
      </w:tcPr>
    </w:tblStylePr>
    <w:tblStylePr w:type="band1Horz">
      <w:tblPr/>
      <w:tcPr>
        <w:shd w:val="clear" w:color="B7E9FF" w:themeColor="accent2" w:themeTint="40" w:fill="B7E9FF"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B0A9" w:themeColor="accent3"/>
          <w:right w:val="none" w:sz="4" w:space="0" w:color="000000"/>
        </w:tcBorders>
      </w:tcPr>
    </w:tblStylePr>
    <w:tblStylePr w:type="lastRow">
      <w:rPr>
        <w:b/>
        <w:color w:val="404040"/>
      </w:rPr>
      <w:tblPr/>
      <w:tcPr>
        <w:tcBorders>
          <w:top w:val="single" w:sz="4" w:space="0" w:color="00B0A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BFFFB" w:themeColor="accent3" w:themeTint="40" w:fill="ABFFFB" w:themeFill="accent3" w:themeFillTint="40"/>
      </w:tcPr>
    </w:tblStylePr>
    <w:tblStylePr w:type="band1Horz">
      <w:tblPr/>
      <w:tcPr>
        <w:shd w:val="clear" w:color="ABFFFB" w:themeColor="accent3" w:themeTint="40" w:fill="ABFFFB"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BCD0" w:themeColor="accent4"/>
          <w:right w:val="none" w:sz="4" w:space="0" w:color="000000"/>
        </w:tcBorders>
      </w:tcPr>
    </w:tblStylePr>
    <w:tblStylePr w:type="lastRow">
      <w:rPr>
        <w:b/>
        <w:color w:val="404040"/>
      </w:rPr>
      <w:tblPr/>
      <w:tcPr>
        <w:tcBorders>
          <w:top w:val="single" w:sz="4" w:space="0" w:color="00BCD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3F7FF" w:themeColor="accent4" w:themeTint="40" w:fill="B3F7FF" w:themeFill="accent4" w:themeFillTint="40"/>
      </w:tcPr>
    </w:tblStylePr>
    <w:tblStylePr w:type="band1Horz">
      <w:tblPr/>
      <w:tcPr>
        <w:shd w:val="clear" w:color="B3F7FF" w:themeColor="accent4" w:themeTint="40" w:fill="B3F7FF"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6787C4" w:themeColor="accent5"/>
          <w:right w:val="none" w:sz="4" w:space="0" w:color="000000"/>
        </w:tcBorders>
      </w:tcPr>
    </w:tblStylePr>
    <w:tblStylePr w:type="lastRow">
      <w:rPr>
        <w:b/>
        <w:color w:val="404040"/>
      </w:rPr>
      <w:tblPr/>
      <w:tcPr>
        <w:tcBorders>
          <w:top w:val="single" w:sz="4" w:space="0" w:color="6787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8E0F0" w:themeColor="accent5" w:themeTint="40" w:fill="D8E0F0" w:themeFill="accent5" w:themeFillTint="40"/>
      </w:tcPr>
    </w:tblStylePr>
    <w:tblStylePr w:type="band1Horz">
      <w:tblPr/>
      <w:tcPr>
        <w:shd w:val="clear" w:color="D8E0F0" w:themeColor="accent5" w:themeTint="40" w:fill="D8E0F0"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9509A" w:themeColor="accent6"/>
          <w:right w:val="none" w:sz="4" w:space="0" w:color="000000"/>
        </w:tcBorders>
      </w:tcPr>
    </w:tblStylePr>
    <w:tblStylePr w:type="lastRow">
      <w:rPr>
        <w:b/>
        <w:color w:val="404040"/>
      </w:rPr>
      <w:tblPr/>
      <w:tcPr>
        <w:tcBorders>
          <w:top w:val="single" w:sz="4" w:space="0" w:color="99509A"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6D1E7" w:themeColor="accent6" w:themeTint="40" w:fill="E6D1E7" w:themeFill="accent6" w:themeFillTint="40"/>
      </w:tcPr>
    </w:tblStylePr>
    <w:tblStylePr w:type="band1Horz">
      <w:tblPr/>
      <w:tcPr>
        <w:shd w:val="clear" w:color="E6D1E7" w:themeColor="accent6" w:themeTint="40" w:fill="E6D1E7" w:themeFill="accent6"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2EACFF" w:themeColor="accent1" w:themeTint="90"/>
        <w:bottom w:val="single" w:sz="4" w:space="0" w:color="2EACFF" w:themeColor="accent1" w:themeTint="90"/>
        <w:insideH w:val="single" w:sz="4" w:space="0" w:color="2EACFF" w:themeColor="accent1" w:themeTint="90"/>
      </w:tblBorders>
    </w:tblPr>
    <w:tblStylePr w:type="firstRow">
      <w:rPr>
        <w:rFonts w:ascii="Arial" w:hAnsi="Arial"/>
        <w:b/>
        <w:color w:val="404040"/>
        <w:sz w:val="22"/>
      </w:rPr>
      <w:tblPr/>
      <w:tcPr>
        <w:tcBorders>
          <w:top w:val="single" w:sz="4" w:space="0" w:color="2EACFF" w:themeColor="accent1" w:themeTint="90"/>
          <w:left w:val="none" w:sz="4" w:space="0" w:color="000000"/>
          <w:bottom w:val="single" w:sz="4" w:space="0" w:color="2EACFF" w:themeColor="accent1" w:themeTint="90"/>
          <w:right w:val="none" w:sz="4" w:space="0" w:color="000000"/>
        </w:tcBorders>
      </w:tcPr>
    </w:tblStylePr>
    <w:tblStylePr w:type="lastRow">
      <w:rPr>
        <w:rFonts w:ascii="Arial" w:hAnsi="Arial"/>
        <w:b/>
        <w:color w:val="404040"/>
        <w:sz w:val="22"/>
      </w:rPr>
      <w:tblPr/>
      <w:tcPr>
        <w:tcBorders>
          <w:top w:val="single" w:sz="4" w:space="0" w:color="2EACFF" w:themeColor="accent1" w:themeTint="90"/>
          <w:left w:val="none" w:sz="4" w:space="0" w:color="000000"/>
          <w:bottom w:val="single" w:sz="4" w:space="0" w:color="2EACFF"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2DAFF" w:themeColor="accent1" w:themeTint="40" w:fill="A2DAFF" w:themeFill="accent1" w:themeFillTint="40"/>
      </w:tcPr>
    </w:tblStylePr>
    <w:tblStylePr w:type="band1Horz">
      <w:rPr>
        <w:rFonts w:ascii="Arial" w:hAnsi="Arial"/>
        <w:color w:val="404040"/>
        <w:sz w:val="22"/>
      </w:rPr>
      <w:tblPr/>
      <w:tcPr>
        <w:shd w:val="clear" w:color="A2DAFF" w:themeColor="accent1" w:themeTint="40" w:fill="A2DAFF"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5FCEFF" w:themeColor="accent2" w:themeTint="90"/>
        <w:bottom w:val="single" w:sz="4" w:space="0" w:color="5FCEFF" w:themeColor="accent2" w:themeTint="90"/>
        <w:insideH w:val="single" w:sz="4" w:space="0" w:color="5FCEFF" w:themeColor="accent2" w:themeTint="90"/>
      </w:tblBorders>
    </w:tblPr>
    <w:tblStylePr w:type="firstRow">
      <w:rPr>
        <w:rFonts w:ascii="Arial" w:hAnsi="Arial"/>
        <w:b/>
        <w:color w:val="404040"/>
        <w:sz w:val="22"/>
      </w:rPr>
      <w:tblPr/>
      <w:tcPr>
        <w:tcBorders>
          <w:top w:val="single" w:sz="4" w:space="0" w:color="5FCEFF" w:themeColor="accent2" w:themeTint="90"/>
          <w:left w:val="none" w:sz="4" w:space="0" w:color="000000"/>
          <w:bottom w:val="single" w:sz="4" w:space="0" w:color="5FCEFF" w:themeColor="accent2" w:themeTint="90"/>
          <w:right w:val="none" w:sz="4" w:space="0" w:color="000000"/>
        </w:tcBorders>
      </w:tcPr>
    </w:tblStylePr>
    <w:tblStylePr w:type="lastRow">
      <w:rPr>
        <w:rFonts w:ascii="Arial" w:hAnsi="Arial"/>
        <w:b/>
        <w:color w:val="404040"/>
        <w:sz w:val="22"/>
      </w:rPr>
      <w:tblPr/>
      <w:tcPr>
        <w:tcBorders>
          <w:top w:val="single" w:sz="4" w:space="0" w:color="5FCEFF" w:themeColor="accent2" w:themeTint="90"/>
          <w:left w:val="none" w:sz="4" w:space="0" w:color="000000"/>
          <w:bottom w:val="single" w:sz="4" w:space="0" w:color="5FCEFF"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7E9FF" w:themeColor="accent2" w:themeTint="40" w:fill="B7E9FF" w:themeFill="accent2" w:themeFillTint="40"/>
      </w:tcPr>
    </w:tblStylePr>
    <w:tblStylePr w:type="band1Horz">
      <w:rPr>
        <w:rFonts w:ascii="Arial" w:hAnsi="Arial"/>
        <w:color w:val="404040"/>
        <w:sz w:val="22"/>
      </w:rPr>
      <w:tblPr/>
      <w:tcPr>
        <w:shd w:val="clear" w:color="B7E9FF" w:themeColor="accent2" w:themeTint="40" w:fill="B7E9FF"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42FFF6" w:themeColor="accent3" w:themeTint="90"/>
        <w:bottom w:val="single" w:sz="4" w:space="0" w:color="42FFF6" w:themeColor="accent3" w:themeTint="90"/>
        <w:insideH w:val="single" w:sz="4" w:space="0" w:color="42FFF6" w:themeColor="accent3" w:themeTint="90"/>
      </w:tblBorders>
    </w:tblPr>
    <w:tblStylePr w:type="firstRow">
      <w:rPr>
        <w:rFonts w:ascii="Arial" w:hAnsi="Arial"/>
        <w:b/>
        <w:color w:val="404040"/>
        <w:sz w:val="22"/>
      </w:rPr>
      <w:tblPr/>
      <w:tcPr>
        <w:tcBorders>
          <w:top w:val="single" w:sz="4" w:space="0" w:color="42FFF6" w:themeColor="accent3" w:themeTint="90"/>
          <w:left w:val="none" w:sz="4" w:space="0" w:color="000000"/>
          <w:bottom w:val="single" w:sz="4" w:space="0" w:color="42FFF6" w:themeColor="accent3" w:themeTint="90"/>
          <w:right w:val="none" w:sz="4" w:space="0" w:color="000000"/>
        </w:tcBorders>
      </w:tcPr>
    </w:tblStylePr>
    <w:tblStylePr w:type="lastRow">
      <w:rPr>
        <w:rFonts w:ascii="Arial" w:hAnsi="Arial"/>
        <w:b/>
        <w:color w:val="404040"/>
        <w:sz w:val="22"/>
      </w:rPr>
      <w:tblPr/>
      <w:tcPr>
        <w:tcBorders>
          <w:top w:val="single" w:sz="4" w:space="0" w:color="42FFF6" w:themeColor="accent3" w:themeTint="90"/>
          <w:left w:val="none" w:sz="4" w:space="0" w:color="000000"/>
          <w:bottom w:val="single" w:sz="4" w:space="0" w:color="42FFF6"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BFFFB" w:themeColor="accent3" w:themeTint="40" w:fill="ABFFFB" w:themeFill="accent3" w:themeFillTint="40"/>
      </w:tcPr>
    </w:tblStylePr>
    <w:tblStylePr w:type="band1Horz">
      <w:rPr>
        <w:rFonts w:ascii="Arial" w:hAnsi="Arial"/>
        <w:color w:val="404040"/>
        <w:sz w:val="22"/>
      </w:rPr>
      <w:tblPr/>
      <w:tcPr>
        <w:shd w:val="clear" w:color="ABFFFB" w:themeColor="accent3" w:themeTint="40" w:fill="ABFFFB"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54EEFF" w:themeColor="accent4" w:themeTint="90"/>
        <w:bottom w:val="single" w:sz="4" w:space="0" w:color="54EEFF" w:themeColor="accent4" w:themeTint="90"/>
        <w:insideH w:val="single" w:sz="4" w:space="0" w:color="54EEFF" w:themeColor="accent4" w:themeTint="90"/>
      </w:tblBorders>
    </w:tblPr>
    <w:tblStylePr w:type="firstRow">
      <w:rPr>
        <w:rFonts w:ascii="Arial" w:hAnsi="Arial"/>
        <w:b/>
        <w:color w:val="404040"/>
        <w:sz w:val="22"/>
      </w:rPr>
      <w:tblPr/>
      <w:tcPr>
        <w:tcBorders>
          <w:top w:val="single" w:sz="4" w:space="0" w:color="54EEFF" w:themeColor="accent4" w:themeTint="90"/>
          <w:left w:val="none" w:sz="4" w:space="0" w:color="000000"/>
          <w:bottom w:val="single" w:sz="4" w:space="0" w:color="54EEFF" w:themeColor="accent4" w:themeTint="90"/>
          <w:right w:val="none" w:sz="4" w:space="0" w:color="000000"/>
        </w:tcBorders>
      </w:tcPr>
    </w:tblStylePr>
    <w:tblStylePr w:type="lastRow">
      <w:rPr>
        <w:rFonts w:ascii="Arial" w:hAnsi="Arial"/>
        <w:b/>
        <w:color w:val="404040"/>
        <w:sz w:val="22"/>
      </w:rPr>
      <w:tblPr/>
      <w:tcPr>
        <w:tcBorders>
          <w:top w:val="single" w:sz="4" w:space="0" w:color="54EEFF" w:themeColor="accent4" w:themeTint="90"/>
          <w:left w:val="none" w:sz="4" w:space="0" w:color="000000"/>
          <w:bottom w:val="single" w:sz="4" w:space="0" w:color="54EEF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3F7FF" w:themeColor="accent4" w:themeTint="40" w:fill="B3F7FF" w:themeFill="accent4" w:themeFillTint="40"/>
      </w:tcPr>
    </w:tblStylePr>
    <w:tblStylePr w:type="band1Horz">
      <w:rPr>
        <w:rFonts w:ascii="Arial" w:hAnsi="Arial"/>
        <w:color w:val="404040"/>
        <w:sz w:val="22"/>
      </w:rPr>
      <w:tblPr/>
      <w:tcPr>
        <w:shd w:val="clear" w:color="B3F7FF" w:themeColor="accent4" w:themeTint="40" w:fill="B3F7FF"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A9BADD" w:themeColor="accent5" w:themeTint="90"/>
        <w:bottom w:val="single" w:sz="4" w:space="0" w:color="A9BADD" w:themeColor="accent5" w:themeTint="90"/>
        <w:insideH w:val="single" w:sz="4" w:space="0" w:color="A9BADD" w:themeColor="accent5" w:themeTint="90"/>
      </w:tblBorders>
    </w:tblPr>
    <w:tblStylePr w:type="firstRow">
      <w:rPr>
        <w:rFonts w:ascii="Arial" w:hAnsi="Arial"/>
        <w:b/>
        <w:color w:val="404040"/>
        <w:sz w:val="22"/>
      </w:rPr>
      <w:tblPr/>
      <w:tcPr>
        <w:tcBorders>
          <w:top w:val="single" w:sz="4" w:space="0" w:color="A9BADD" w:themeColor="accent5" w:themeTint="90"/>
          <w:left w:val="none" w:sz="4" w:space="0" w:color="000000"/>
          <w:bottom w:val="single" w:sz="4" w:space="0" w:color="A9BADD" w:themeColor="accent5" w:themeTint="90"/>
          <w:right w:val="none" w:sz="4" w:space="0" w:color="000000"/>
        </w:tcBorders>
      </w:tcPr>
    </w:tblStylePr>
    <w:tblStylePr w:type="lastRow">
      <w:rPr>
        <w:rFonts w:ascii="Arial" w:hAnsi="Arial"/>
        <w:b/>
        <w:color w:val="404040"/>
        <w:sz w:val="22"/>
      </w:rPr>
      <w:tblPr/>
      <w:tcPr>
        <w:tcBorders>
          <w:top w:val="single" w:sz="4" w:space="0" w:color="A9BADD" w:themeColor="accent5" w:themeTint="90"/>
          <w:left w:val="none" w:sz="4" w:space="0" w:color="000000"/>
          <w:bottom w:val="single" w:sz="4" w:space="0" w:color="A9BA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8E0F0" w:themeColor="accent5" w:themeTint="40" w:fill="D8E0F0" w:themeFill="accent5" w:themeFillTint="40"/>
      </w:tcPr>
    </w:tblStylePr>
    <w:tblStylePr w:type="band1Horz">
      <w:rPr>
        <w:rFonts w:ascii="Arial" w:hAnsi="Arial"/>
        <w:color w:val="404040"/>
        <w:sz w:val="22"/>
      </w:rPr>
      <w:tblPr/>
      <w:tcPr>
        <w:shd w:val="clear" w:color="D8E0F0" w:themeColor="accent5" w:themeTint="40" w:fill="D8E0F0"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C898C9" w:themeColor="accent6" w:themeTint="90"/>
        <w:bottom w:val="single" w:sz="4" w:space="0" w:color="C898C9" w:themeColor="accent6" w:themeTint="90"/>
        <w:insideH w:val="single" w:sz="4" w:space="0" w:color="C898C9" w:themeColor="accent6" w:themeTint="90"/>
      </w:tblBorders>
    </w:tblPr>
    <w:tblStylePr w:type="firstRow">
      <w:rPr>
        <w:rFonts w:ascii="Arial" w:hAnsi="Arial"/>
        <w:b/>
        <w:color w:val="404040"/>
        <w:sz w:val="22"/>
      </w:rPr>
      <w:tblPr/>
      <w:tcPr>
        <w:tcBorders>
          <w:top w:val="single" w:sz="4" w:space="0" w:color="C898C9" w:themeColor="accent6" w:themeTint="90"/>
          <w:left w:val="none" w:sz="4" w:space="0" w:color="000000"/>
          <w:bottom w:val="single" w:sz="4" w:space="0" w:color="C898C9" w:themeColor="accent6" w:themeTint="90"/>
          <w:right w:val="none" w:sz="4" w:space="0" w:color="000000"/>
        </w:tcBorders>
      </w:tcPr>
    </w:tblStylePr>
    <w:tblStylePr w:type="lastRow">
      <w:rPr>
        <w:rFonts w:ascii="Arial" w:hAnsi="Arial"/>
        <w:b/>
        <w:color w:val="404040"/>
        <w:sz w:val="22"/>
      </w:rPr>
      <w:tblPr/>
      <w:tcPr>
        <w:tcBorders>
          <w:top w:val="single" w:sz="4" w:space="0" w:color="C898C9" w:themeColor="accent6" w:themeTint="90"/>
          <w:left w:val="none" w:sz="4" w:space="0" w:color="000000"/>
          <w:bottom w:val="single" w:sz="4" w:space="0" w:color="C898C9"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6D1E7" w:themeColor="accent6" w:themeTint="40" w:fill="E6D1E7" w:themeFill="accent6" w:themeFillTint="40"/>
      </w:tcPr>
    </w:tblStylePr>
    <w:tblStylePr w:type="band1Horz">
      <w:rPr>
        <w:rFonts w:ascii="Arial" w:hAnsi="Arial"/>
        <w:color w:val="404040"/>
        <w:sz w:val="22"/>
      </w:rPr>
      <w:tblPr/>
      <w:tcPr>
        <w:shd w:val="clear" w:color="E6D1E7" w:themeColor="accent6" w:themeTint="40" w:fill="E6D1E7" w:themeFill="accent6" w:themeFillTint="40"/>
      </w:tcPr>
    </w:tblStylePr>
  </w:style>
  <w:style w:type="table" w:styleId="ListTable3">
    <w:name w:val="List Table 3"/>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pPr>
      <w:spacing w:after="0" w:line="240" w:lineRule="auto"/>
    </w:pPr>
    <w:tblPr>
      <w:tblStyleRowBandSize w:val="1"/>
      <w:tblStyleColBandSize w:val="1"/>
      <w:tblBorders>
        <w:top w:val="single" w:sz="4" w:space="0" w:color="00558C" w:themeColor="accent1"/>
        <w:left w:val="single" w:sz="4" w:space="0" w:color="00558C" w:themeColor="accent1"/>
        <w:bottom w:val="single" w:sz="4" w:space="0" w:color="00558C" w:themeColor="accent1"/>
        <w:right w:val="single" w:sz="4" w:space="0" w:color="00558C" w:themeColor="accent1"/>
      </w:tblBorders>
    </w:tblPr>
    <w:tblStylePr w:type="firstRow">
      <w:rPr>
        <w:rFonts w:ascii="Arial" w:hAnsi="Arial"/>
        <w:b/>
        <w:color w:val="FFFFFF"/>
        <w:sz w:val="22"/>
      </w:rPr>
      <w:tblPr/>
      <w:tcPr>
        <w:shd w:val="clear" w:color="00558C" w:themeColor="accent1" w:fill="00558C"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558C" w:themeColor="accent1"/>
          <w:right w:val="single" w:sz="4" w:space="0" w:color="00558C" w:themeColor="accent1"/>
        </w:tcBorders>
      </w:tcPr>
    </w:tblStylePr>
    <w:tblStylePr w:type="band1Horz">
      <w:rPr>
        <w:rFonts w:ascii="Arial" w:hAnsi="Arial"/>
        <w:color w:val="404040"/>
        <w:sz w:val="22"/>
      </w:rPr>
      <w:tblPr/>
      <w:tcPr>
        <w:tcBorders>
          <w:top w:val="single" w:sz="4" w:space="0" w:color="00558C" w:themeColor="accent1"/>
          <w:bottom w:val="single" w:sz="4" w:space="0" w:color="00558C" w:themeColor="accent1"/>
        </w:tcBorders>
      </w:tcPr>
    </w:tblStylePr>
  </w:style>
  <w:style w:type="table" w:styleId="ListTable3-Accent2">
    <w:name w:val="List Table 3 Accent 2"/>
    <w:basedOn w:val="TableNormal"/>
    <w:uiPriority w:val="99"/>
    <w:pPr>
      <w:spacing w:after="0" w:line="240" w:lineRule="auto"/>
    </w:pPr>
    <w:tblPr>
      <w:tblStyleRowBandSize w:val="1"/>
      <w:tblStyleColBandSize w:val="1"/>
      <w:tblBorders>
        <w:top w:val="single" w:sz="4" w:space="0" w:color="57CCFF" w:themeColor="accent2" w:themeTint="97"/>
        <w:left w:val="single" w:sz="4" w:space="0" w:color="57CCFF" w:themeColor="accent2" w:themeTint="97"/>
        <w:bottom w:val="single" w:sz="4" w:space="0" w:color="57CCFF" w:themeColor="accent2" w:themeTint="97"/>
        <w:right w:val="single" w:sz="4" w:space="0" w:color="57CCFF" w:themeColor="accent2" w:themeTint="97"/>
      </w:tblBorders>
    </w:tblPr>
    <w:tblStylePr w:type="firstRow">
      <w:rPr>
        <w:rFonts w:ascii="Arial" w:hAnsi="Arial"/>
        <w:b/>
        <w:color w:val="FFFFFF"/>
        <w:sz w:val="22"/>
      </w:rPr>
      <w:tblPr/>
      <w:tcPr>
        <w:shd w:val="clear" w:color="57CCFF" w:themeColor="accent2" w:themeTint="97" w:fill="57CCFF"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7CCFF" w:themeColor="accent2" w:themeTint="97"/>
          <w:right w:val="single" w:sz="4" w:space="0" w:color="57CCFF" w:themeColor="accent2" w:themeTint="97"/>
        </w:tcBorders>
      </w:tcPr>
    </w:tblStylePr>
    <w:tblStylePr w:type="band1Horz">
      <w:rPr>
        <w:rFonts w:ascii="Arial" w:hAnsi="Arial"/>
        <w:color w:val="404040"/>
        <w:sz w:val="22"/>
      </w:rPr>
      <w:tblPr/>
      <w:tcPr>
        <w:tcBorders>
          <w:top w:val="single" w:sz="4" w:space="0" w:color="57CCFF" w:themeColor="accent2" w:themeTint="97"/>
          <w:bottom w:val="single" w:sz="4" w:space="0" w:color="57CCFF" w:themeColor="accent2" w:themeTint="97"/>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37FFF6" w:themeColor="accent3" w:themeTint="98"/>
        <w:left w:val="single" w:sz="4" w:space="0" w:color="37FFF6" w:themeColor="accent3" w:themeTint="98"/>
        <w:bottom w:val="single" w:sz="4" w:space="0" w:color="37FFF6" w:themeColor="accent3" w:themeTint="98"/>
        <w:right w:val="single" w:sz="4" w:space="0" w:color="37FFF6" w:themeColor="accent3" w:themeTint="98"/>
      </w:tblBorders>
    </w:tblPr>
    <w:tblStylePr w:type="firstRow">
      <w:rPr>
        <w:rFonts w:ascii="Arial" w:hAnsi="Arial"/>
        <w:b/>
        <w:color w:val="FFFFFF"/>
        <w:sz w:val="22"/>
      </w:rPr>
      <w:tblPr/>
      <w:tcPr>
        <w:shd w:val="clear" w:color="37FFF6" w:themeColor="accent3" w:themeTint="98" w:fill="37FFF6"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37FFF6" w:themeColor="accent3" w:themeTint="98"/>
          <w:right w:val="single" w:sz="4" w:space="0" w:color="37FFF6" w:themeColor="accent3" w:themeTint="98"/>
        </w:tcBorders>
      </w:tcPr>
    </w:tblStylePr>
    <w:tblStylePr w:type="band1Horz">
      <w:rPr>
        <w:rFonts w:ascii="Arial" w:hAnsi="Arial"/>
        <w:color w:val="404040"/>
        <w:sz w:val="22"/>
      </w:rPr>
      <w:tblPr/>
      <w:tcPr>
        <w:tcBorders>
          <w:top w:val="single" w:sz="4" w:space="0" w:color="37FFF6" w:themeColor="accent3" w:themeTint="98"/>
          <w:bottom w:val="single" w:sz="4" w:space="0" w:color="37FFF6"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48EDFF" w:themeColor="accent4" w:themeTint="9A"/>
        <w:left w:val="single" w:sz="4" w:space="0" w:color="48EDFF" w:themeColor="accent4" w:themeTint="9A"/>
        <w:bottom w:val="single" w:sz="4" w:space="0" w:color="48EDFF" w:themeColor="accent4" w:themeTint="9A"/>
        <w:right w:val="single" w:sz="4" w:space="0" w:color="48EDFF" w:themeColor="accent4" w:themeTint="9A"/>
      </w:tblBorders>
    </w:tblPr>
    <w:tblStylePr w:type="firstRow">
      <w:rPr>
        <w:rFonts w:ascii="Arial" w:hAnsi="Arial"/>
        <w:b/>
        <w:color w:val="FFFFFF"/>
        <w:sz w:val="22"/>
      </w:rPr>
      <w:tblPr/>
      <w:tcPr>
        <w:shd w:val="clear" w:color="48EDFF" w:themeColor="accent4" w:themeTint="9A" w:fill="48EDFF"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EDFF" w:themeColor="accent4" w:themeTint="9A"/>
          <w:right w:val="single" w:sz="4" w:space="0" w:color="48EDFF" w:themeColor="accent4" w:themeTint="9A"/>
        </w:tcBorders>
      </w:tcPr>
    </w:tblStylePr>
    <w:tblStylePr w:type="band1Horz">
      <w:rPr>
        <w:rFonts w:ascii="Arial" w:hAnsi="Arial"/>
        <w:color w:val="404040"/>
        <w:sz w:val="22"/>
      </w:rPr>
      <w:tblPr/>
      <w:tcPr>
        <w:tcBorders>
          <w:top w:val="single" w:sz="4" w:space="0" w:color="48EDFF" w:themeColor="accent4" w:themeTint="9A"/>
          <w:bottom w:val="single" w:sz="4" w:space="0" w:color="48EDFF"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A3B6DB" w:themeColor="accent5" w:themeTint="9A"/>
        <w:left w:val="single" w:sz="4" w:space="0" w:color="A3B6DB" w:themeColor="accent5" w:themeTint="9A"/>
        <w:bottom w:val="single" w:sz="4" w:space="0" w:color="A3B6DB" w:themeColor="accent5" w:themeTint="9A"/>
        <w:right w:val="single" w:sz="4" w:space="0" w:color="A3B6DB" w:themeColor="accent5" w:themeTint="9A"/>
      </w:tblBorders>
    </w:tblPr>
    <w:tblStylePr w:type="firstRow">
      <w:rPr>
        <w:rFonts w:ascii="Arial" w:hAnsi="Arial"/>
        <w:b/>
        <w:color w:val="FFFFFF"/>
        <w:sz w:val="22"/>
      </w:rPr>
      <w:tblPr/>
      <w:tcPr>
        <w:shd w:val="clear" w:color="A3B6DB" w:themeColor="accent5" w:themeTint="9A" w:fill="A3B6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3B6DB" w:themeColor="accent5" w:themeTint="9A"/>
          <w:right w:val="single" w:sz="4" w:space="0" w:color="A3B6DB" w:themeColor="accent5" w:themeTint="9A"/>
        </w:tcBorders>
      </w:tcPr>
    </w:tblStylePr>
    <w:tblStylePr w:type="band1Horz">
      <w:rPr>
        <w:rFonts w:ascii="Arial" w:hAnsi="Arial"/>
        <w:color w:val="404040"/>
        <w:sz w:val="22"/>
      </w:rPr>
      <w:tblPr/>
      <w:tcPr>
        <w:tcBorders>
          <w:top w:val="single" w:sz="4" w:space="0" w:color="A3B6DB" w:themeColor="accent5" w:themeTint="9A"/>
          <w:bottom w:val="single" w:sz="4" w:space="0" w:color="A3B6DB"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C592C6" w:themeColor="accent6" w:themeTint="98"/>
        <w:left w:val="single" w:sz="4" w:space="0" w:color="C592C6" w:themeColor="accent6" w:themeTint="98"/>
        <w:bottom w:val="single" w:sz="4" w:space="0" w:color="C592C6" w:themeColor="accent6" w:themeTint="98"/>
        <w:right w:val="single" w:sz="4" w:space="0" w:color="C592C6" w:themeColor="accent6" w:themeTint="98"/>
      </w:tblBorders>
    </w:tblPr>
    <w:tblStylePr w:type="firstRow">
      <w:rPr>
        <w:rFonts w:ascii="Arial" w:hAnsi="Arial"/>
        <w:b/>
        <w:color w:val="FFFFFF"/>
        <w:sz w:val="22"/>
      </w:rPr>
      <w:tblPr/>
      <w:tcPr>
        <w:shd w:val="clear" w:color="C592C6" w:themeColor="accent6" w:themeTint="98" w:fill="C592C6"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592C6" w:themeColor="accent6" w:themeTint="98"/>
          <w:right w:val="single" w:sz="4" w:space="0" w:color="C592C6" w:themeColor="accent6" w:themeTint="98"/>
        </w:tcBorders>
      </w:tcPr>
    </w:tblStylePr>
    <w:tblStylePr w:type="band1Horz">
      <w:rPr>
        <w:rFonts w:ascii="Arial" w:hAnsi="Arial"/>
        <w:color w:val="404040"/>
        <w:sz w:val="22"/>
      </w:rPr>
      <w:tblPr/>
      <w:tcPr>
        <w:tcBorders>
          <w:top w:val="single" w:sz="4" w:space="0" w:color="C592C6" w:themeColor="accent6" w:themeTint="98"/>
          <w:bottom w:val="single" w:sz="4" w:space="0" w:color="C592C6" w:themeColor="accent6" w:themeTint="98"/>
        </w:tcBorders>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4-Accent1">
    <w:name w:val="List Table 4 Accent 1"/>
    <w:basedOn w:val="TableNormal"/>
    <w:uiPriority w:val="99"/>
    <w:pPr>
      <w:spacing w:after="0" w:line="240" w:lineRule="auto"/>
    </w:pPr>
    <w:tblPr>
      <w:tblStyleRowBandSize w:val="1"/>
      <w:tblStyleColBandSize w:val="1"/>
      <w:tblBorders>
        <w:top w:val="single" w:sz="4" w:space="0" w:color="2EACFF" w:themeColor="accent1" w:themeTint="90"/>
        <w:left w:val="single" w:sz="4" w:space="0" w:color="2EACFF" w:themeColor="accent1" w:themeTint="90"/>
        <w:bottom w:val="single" w:sz="4" w:space="0" w:color="2EACFF" w:themeColor="accent1" w:themeTint="90"/>
        <w:right w:val="single" w:sz="4" w:space="0" w:color="2EACFF" w:themeColor="accent1" w:themeTint="90"/>
        <w:insideH w:val="single" w:sz="4" w:space="0" w:color="2EACFF" w:themeColor="accent1" w:themeTint="90"/>
      </w:tblBorders>
    </w:tblPr>
    <w:tblStylePr w:type="firstRow">
      <w:rPr>
        <w:rFonts w:ascii="Arial" w:hAnsi="Arial"/>
        <w:b/>
        <w:color w:val="FFFFFF"/>
        <w:sz w:val="22"/>
      </w:rPr>
      <w:tblPr/>
      <w:tcPr>
        <w:shd w:val="clear" w:color="00558C" w:themeColor="accent1" w:fill="00558C"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2DAFF" w:themeColor="accent1" w:themeTint="40" w:fill="A2DAFF" w:themeFill="accent1" w:themeFillTint="40"/>
      </w:tcPr>
    </w:tblStylePr>
    <w:tblStylePr w:type="band1Horz">
      <w:rPr>
        <w:rFonts w:ascii="Arial" w:hAnsi="Arial"/>
        <w:color w:val="404040"/>
        <w:sz w:val="22"/>
      </w:rPr>
      <w:tblPr/>
      <w:tcPr>
        <w:shd w:val="clear" w:color="A2DAFF" w:themeColor="accent1" w:themeTint="40" w:fill="A2DAFF" w:themeFill="accent1" w:themeFillTint="4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5FCEFF" w:themeColor="accent2" w:themeTint="90"/>
        <w:left w:val="single" w:sz="4" w:space="0" w:color="5FCEFF" w:themeColor="accent2" w:themeTint="90"/>
        <w:bottom w:val="single" w:sz="4" w:space="0" w:color="5FCEFF" w:themeColor="accent2" w:themeTint="90"/>
        <w:right w:val="single" w:sz="4" w:space="0" w:color="5FCEFF" w:themeColor="accent2" w:themeTint="90"/>
        <w:insideH w:val="single" w:sz="4" w:space="0" w:color="5FCEFF" w:themeColor="accent2" w:themeTint="90"/>
      </w:tblBorders>
    </w:tblPr>
    <w:tblStylePr w:type="firstRow">
      <w:rPr>
        <w:rFonts w:ascii="Arial" w:hAnsi="Arial"/>
        <w:b/>
        <w:color w:val="FFFFFF"/>
        <w:sz w:val="22"/>
      </w:rPr>
      <w:tblPr/>
      <w:tcPr>
        <w:shd w:val="clear" w:color="009FE3" w:themeColor="accent2" w:fill="009FE3"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7E9FF" w:themeColor="accent2" w:themeTint="40" w:fill="B7E9FF" w:themeFill="accent2" w:themeFillTint="40"/>
      </w:tcPr>
    </w:tblStylePr>
    <w:tblStylePr w:type="band1Horz">
      <w:rPr>
        <w:rFonts w:ascii="Arial" w:hAnsi="Arial"/>
        <w:color w:val="404040"/>
        <w:sz w:val="22"/>
      </w:rPr>
      <w:tblPr/>
      <w:tcPr>
        <w:shd w:val="clear" w:color="B7E9FF" w:themeColor="accent2" w:themeTint="40" w:fill="B7E9FF"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42FFF6" w:themeColor="accent3" w:themeTint="90"/>
        <w:left w:val="single" w:sz="4" w:space="0" w:color="42FFF6" w:themeColor="accent3" w:themeTint="90"/>
        <w:bottom w:val="single" w:sz="4" w:space="0" w:color="42FFF6" w:themeColor="accent3" w:themeTint="90"/>
        <w:right w:val="single" w:sz="4" w:space="0" w:color="42FFF6" w:themeColor="accent3" w:themeTint="90"/>
        <w:insideH w:val="single" w:sz="4" w:space="0" w:color="42FFF6" w:themeColor="accent3" w:themeTint="90"/>
      </w:tblBorders>
    </w:tblPr>
    <w:tblStylePr w:type="firstRow">
      <w:rPr>
        <w:rFonts w:ascii="Arial" w:hAnsi="Arial"/>
        <w:b/>
        <w:color w:val="FFFFFF"/>
        <w:sz w:val="22"/>
      </w:rPr>
      <w:tblPr/>
      <w:tcPr>
        <w:shd w:val="clear" w:color="00B0A9" w:themeColor="accent3" w:fill="00B0A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BFFFB" w:themeColor="accent3" w:themeTint="40" w:fill="ABFFFB" w:themeFill="accent3" w:themeFillTint="40"/>
      </w:tcPr>
    </w:tblStylePr>
    <w:tblStylePr w:type="band1Horz">
      <w:rPr>
        <w:rFonts w:ascii="Arial" w:hAnsi="Arial"/>
        <w:color w:val="404040"/>
        <w:sz w:val="22"/>
      </w:rPr>
      <w:tblPr/>
      <w:tcPr>
        <w:shd w:val="clear" w:color="ABFFFB" w:themeColor="accent3" w:themeTint="40" w:fill="ABFFFB"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54EEFF" w:themeColor="accent4" w:themeTint="90"/>
        <w:left w:val="single" w:sz="4" w:space="0" w:color="54EEFF" w:themeColor="accent4" w:themeTint="90"/>
        <w:bottom w:val="single" w:sz="4" w:space="0" w:color="54EEFF" w:themeColor="accent4" w:themeTint="90"/>
        <w:right w:val="single" w:sz="4" w:space="0" w:color="54EEFF" w:themeColor="accent4" w:themeTint="90"/>
        <w:insideH w:val="single" w:sz="4" w:space="0" w:color="54EEFF" w:themeColor="accent4" w:themeTint="90"/>
      </w:tblBorders>
    </w:tblPr>
    <w:tblStylePr w:type="firstRow">
      <w:rPr>
        <w:rFonts w:ascii="Arial" w:hAnsi="Arial"/>
        <w:b/>
        <w:color w:val="FFFFFF"/>
        <w:sz w:val="22"/>
      </w:rPr>
      <w:tblPr/>
      <w:tcPr>
        <w:shd w:val="clear" w:color="00BCD0" w:themeColor="accent4" w:fill="00BCD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3F7FF" w:themeColor="accent4" w:themeTint="40" w:fill="B3F7FF" w:themeFill="accent4" w:themeFillTint="40"/>
      </w:tcPr>
    </w:tblStylePr>
    <w:tblStylePr w:type="band1Horz">
      <w:rPr>
        <w:rFonts w:ascii="Arial" w:hAnsi="Arial"/>
        <w:color w:val="404040"/>
        <w:sz w:val="22"/>
      </w:rPr>
      <w:tblPr/>
      <w:tcPr>
        <w:shd w:val="clear" w:color="B3F7FF" w:themeColor="accent4" w:themeTint="40" w:fill="B3F7FF"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A9BADD" w:themeColor="accent5" w:themeTint="90"/>
        <w:left w:val="single" w:sz="4" w:space="0" w:color="A9BADD" w:themeColor="accent5" w:themeTint="90"/>
        <w:bottom w:val="single" w:sz="4" w:space="0" w:color="A9BADD" w:themeColor="accent5" w:themeTint="90"/>
        <w:right w:val="single" w:sz="4" w:space="0" w:color="A9BADD" w:themeColor="accent5" w:themeTint="90"/>
        <w:insideH w:val="single" w:sz="4" w:space="0" w:color="A9BADD" w:themeColor="accent5" w:themeTint="90"/>
      </w:tblBorders>
    </w:tblPr>
    <w:tblStylePr w:type="firstRow">
      <w:rPr>
        <w:rFonts w:ascii="Arial" w:hAnsi="Arial"/>
        <w:b/>
        <w:color w:val="FFFFFF"/>
        <w:sz w:val="22"/>
      </w:rPr>
      <w:tblPr/>
      <w:tcPr>
        <w:shd w:val="clear" w:color="6787C4" w:themeColor="accent5" w:fill="6787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0F0" w:themeColor="accent5" w:themeTint="40" w:fill="D8E0F0" w:themeFill="accent5" w:themeFillTint="40"/>
      </w:tcPr>
    </w:tblStylePr>
    <w:tblStylePr w:type="band1Horz">
      <w:rPr>
        <w:rFonts w:ascii="Arial" w:hAnsi="Arial"/>
        <w:color w:val="404040"/>
        <w:sz w:val="22"/>
      </w:rPr>
      <w:tblPr/>
      <w:tcPr>
        <w:shd w:val="clear" w:color="D8E0F0" w:themeColor="accent5" w:themeTint="40" w:fill="D8E0F0"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C898C9" w:themeColor="accent6" w:themeTint="90"/>
        <w:left w:val="single" w:sz="4" w:space="0" w:color="C898C9" w:themeColor="accent6" w:themeTint="90"/>
        <w:bottom w:val="single" w:sz="4" w:space="0" w:color="C898C9" w:themeColor="accent6" w:themeTint="90"/>
        <w:right w:val="single" w:sz="4" w:space="0" w:color="C898C9" w:themeColor="accent6" w:themeTint="90"/>
        <w:insideH w:val="single" w:sz="4" w:space="0" w:color="C898C9" w:themeColor="accent6" w:themeTint="90"/>
      </w:tblBorders>
    </w:tblPr>
    <w:tblStylePr w:type="firstRow">
      <w:rPr>
        <w:rFonts w:ascii="Arial" w:hAnsi="Arial"/>
        <w:b/>
        <w:color w:val="FFFFFF"/>
        <w:sz w:val="22"/>
      </w:rPr>
      <w:tblPr/>
      <w:tcPr>
        <w:shd w:val="clear" w:color="99509A" w:themeColor="accent6" w:fill="99509A"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6D1E7" w:themeColor="accent6" w:themeTint="40" w:fill="E6D1E7" w:themeFill="accent6" w:themeFillTint="40"/>
      </w:tcPr>
    </w:tblStylePr>
    <w:tblStylePr w:type="band1Horz">
      <w:rPr>
        <w:rFonts w:ascii="Arial" w:hAnsi="Arial"/>
        <w:color w:val="404040"/>
        <w:sz w:val="22"/>
      </w:rPr>
      <w:tblPr/>
      <w:tcPr>
        <w:shd w:val="clear" w:color="E6D1E7" w:themeColor="accent6" w:themeTint="40" w:fill="E6D1E7" w:themeFill="accent6"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00558C" w:themeColor="accent1"/>
        <w:left w:val="single" w:sz="32" w:space="0" w:color="00558C" w:themeColor="accent1"/>
        <w:bottom w:val="single" w:sz="32" w:space="0" w:color="00558C" w:themeColor="accent1"/>
        <w:right w:val="single" w:sz="32" w:space="0" w:color="00558C" w:themeColor="accent1"/>
      </w:tblBorders>
      <w:shd w:val="clear" w:color="00558C" w:themeColor="accent1" w:fill="00558C" w:themeFill="accent1"/>
    </w:tblPr>
    <w:tblStylePr w:type="firstRow">
      <w:rPr>
        <w:rFonts w:ascii="Arial" w:hAnsi="Arial"/>
        <w:b/>
        <w:color w:val="FFFFFF" w:themeColor="light1"/>
        <w:sz w:val="22"/>
      </w:rPr>
      <w:tblPr/>
      <w:tcPr>
        <w:tcBorders>
          <w:top w:val="single" w:sz="32" w:space="0" w:color="00558C" w:themeColor="accent1"/>
          <w:bottom w:val="single" w:sz="12" w:space="0" w:color="FFFFFF" w:themeColor="light1"/>
        </w:tcBorders>
        <w:shd w:val="clear" w:color="00558C" w:themeColor="accent1" w:fill="00558C"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558C" w:themeColor="accent1"/>
          <w:right w:val="single" w:sz="4" w:space="0" w:color="FFFFFF" w:themeColor="light1"/>
        </w:tcBorders>
      </w:tcPr>
    </w:tblStylePr>
    <w:tblStylePr w:type="lastCol">
      <w:tblPr/>
      <w:tcPr>
        <w:tcBorders>
          <w:left w:val="single" w:sz="4" w:space="0" w:color="FFFFFF" w:themeColor="light1"/>
          <w:right w:val="single" w:sz="32" w:space="0" w:color="00558C" w:themeColor="accent1"/>
        </w:tcBorders>
      </w:tcPr>
    </w:tblStylePr>
    <w:tblStylePr w:type="band1Vert">
      <w:tblPr/>
      <w:tcPr>
        <w:tcBorders>
          <w:left w:val="single" w:sz="4" w:space="0" w:color="FFFFFF" w:themeColor="light1"/>
          <w:right w:val="single" w:sz="4" w:space="0" w:color="FFFFFF" w:themeColor="light1"/>
        </w:tcBorders>
        <w:shd w:val="clear" w:color="00558C" w:themeColor="accent1" w:fill="00558C"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00558C" w:themeColor="accent1" w:fill="00558C" w:themeFill="accent1"/>
      </w:tcPr>
    </w:tblStylePr>
    <w:tblStylePr w:type="band2Horz">
      <w:tblPr/>
      <w:tcPr>
        <w:tcBorders>
          <w:top w:val="single" w:sz="4" w:space="0" w:color="FFFFFF" w:themeColor="light1"/>
          <w:bottom w:val="single" w:sz="4" w:space="0" w:color="FFFFFF" w:themeColor="light1"/>
        </w:tcBorders>
        <w:shd w:val="clear" w:color="00558C" w:themeColor="accent1" w:fill="00558C" w:themeFill="accent1"/>
      </w:tcPr>
    </w:tblStylePr>
  </w:style>
  <w:style w:type="table" w:styleId="ListTable5Dark-Accent2">
    <w:name w:val="List Table 5 Dark Accent 2"/>
    <w:basedOn w:val="TableNormal"/>
    <w:uiPriority w:val="99"/>
    <w:pPr>
      <w:spacing w:after="0" w:line="240" w:lineRule="auto"/>
    </w:pPr>
    <w:tblPr>
      <w:tblStyleRowBandSize w:val="1"/>
      <w:tblStyleColBandSize w:val="1"/>
      <w:tblBorders>
        <w:top w:val="single" w:sz="32" w:space="0" w:color="57CCFF" w:themeColor="accent2" w:themeTint="97"/>
        <w:left w:val="single" w:sz="32" w:space="0" w:color="57CCFF" w:themeColor="accent2" w:themeTint="97"/>
        <w:bottom w:val="single" w:sz="32" w:space="0" w:color="57CCFF" w:themeColor="accent2" w:themeTint="97"/>
        <w:right w:val="single" w:sz="32" w:space="0" w:color="57CCFF" w:themeColor="accent2" w:themeTint="97"/>
      </w:tblBorders>
      <w:shd w:val="clear" w:color="57CCFF" w:themeColor="accent2" w:themeTint="97" w:fill="57CCFF" w:themeFill="accent2" w:themeFillTint="97"/>
    </w:tblPr>
    <w:tblStylePr w:type="firstRow">
      <w:rPr>
        <w:rFonts w:ascii="Arial" w:hAnsi="Arial"/>
        <w:b/>
        <w:color w:val="FFFFFF" w:themeColor="light1"/>
        <w:sz w:val="22"/>
      </w:rPr>
      <w:tblPr/>
      <w:tcPr>
        <w:tcBorders>
          <w:top w:val="single" w:sz="32" w:space="0" w:color="57CCFF" w:themeColor="accent2" w:themeTint="97"/>
          <w:bottom w:val="single" w:sz="12" w:space="0" w:color="FFFFFF" w:themeColor="light1"/>
        </w:tcBorders>
        <w:shd w:val="clear" w:color="57CCFF" w:themeColor="accent2" w:themeTint="97" w:fill="57CCFF"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7CCFF" w:themeColor="accent2" w:themeTint="97"/>
          <w:right w:val="single" w:sz="4" w:space="0" w:color="FFFFFF" w:themeColor="light1"/>
        </w:tcBorders>
      </w:tcPr>
    </w:tblStylePr>
    <w:tblStylePr w:type="lastCol">
      <w:tblPr/>
      <w:tcPr>
        <w:tcBorders>
          <w:left w:val="single" w:sz="4" w:space="0" w:color="FFFFFF" w:themeColor="light1"/>
          <w:right w:val="single" w:sz="32" w:space="0" w:color="57CCFF" w:themeColor="accent2" w:themeTint="97"/>
        </w:tcBorders>
      </w:tcPr>
    </w:tblStylePr>
    <w:tblStylePr w:type="band1Vert">
      <w:tblPr/>
      <w:tcPr>
        <w:tcBorders>
          <w:left w:val="single" w:sz="4" w:space="0" w:color="FFFFFF" w:themeColor="light1"/>
          <w:right w:val="single" w:sz="4" w:space="0" w:color="FFFFFF" w:themeColor="light1"/>
        </w:tcBorders>
        <w:shd w:val="clear" w:color="57CCFF" w:themeColor="accent2" w:themeTint="97" w:fill="57CCFF"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7CCFF" w:themeColor="accent2" w:themeTint="97" w:fill="57CCFF" w:themeFill="accent2" w:themeFillTint="97"/>
      </w:tcPr>
    </w:tblStylePr>
    <w:tblStylePr w:type="band2Horz">
      <w:tblPr/>
      <w:tcPr>
        <w:tcBorders>
          <w:top w:val="single" w:sz="4" w:space="0" w:color="FFFFFF" w:themeColor="light1"/>
          <w:bottom w:val="single" w:sz="4" w:space="0" w:color="FFFFFF" w:themeColor="light1"/>
        </w:tcBorders>
        <w:shd w:val="clear" w:color="57CCFF" w:themeColor="accent2" w:themeTint="97" w:fill="57CCFF" w:themeFill="accent2" w:themeFillTint="97"/>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37FFF6" w:themeColor="accent3" w:themeTint="98"/>
        <w:left w:val="single" w:sz="32" w:space="0" w:color="37FFF6" w:themeColor="accent3" w:themeTint="98"/>
        <w:bottom w:val="single" w:sz="32" w:space="0" w:color="37FFF6" w:themeColor="accent3" w:themeTint="98"/>
        <w:right w:val="single" w:sz="32" w:space="0" w:color="37FFF6" w:themeColor="accent3" w:themeTint="98"/>
      </w:tblBorders>
      <w:shd w:val="clear" w:color="37FFF6" w:themeColor="accent3" w:themeTint="98" w:fill="37FFF6" w:themeFill="accent3" w:themeFillTint="98"/>
    </w:tblPr>
    <w:tblStylePr w:type="firstRow">
      <w:rPr>
        <w:rFonts w:ascii="Arial" w:hAnsi="Arial"/>
        <w:b/>
        <w:color w:val="FFFFFF" w:themeColor="light1"/>
        <w:sz w:val="22"/>
      </w:rPr>
      <w:tblPr/>
      <w:tcPr>
        <w:tcBorders>
          <w:top w:val="single" w:sz="32" w:space="0" w:color="37FFF6" w:themeColor="accent3" w:themeTint="98"/>
          <w:bottom w:val="single" w:sz="12" w:space="0" w:color="FFFFFF" w:themeColor="light1"/>
        </w:tcBorders>
        <w:shd w:val="clear" w:color="37FFF6" w:themeColor="accent3" w:themeTint="98" w:fill="37FFF6"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37FFF6" w:themeColor="accent3" w:themeTint="98"/>
          <w:right w:val="single" w:sz="4" w:space="0" w:color="FFFFFF" w:themeColor="light1"/>
        </w:tcBorders>
      </w:tcPr>
    </w:tblStylePr>
    <w:tblStylePr w:type="lastCol">
      <w:tblPr/>
      <w:tcPr>
        <w:tcBorders>
          <w:left w:val="single" w:sz="4" w:space="0" w:color="FFFFFF" w:themeColor="light1"/>
          <w:right w:val="single" w:sz="32" w:space="0" w:color="37FFF6" w:themeColor="accent3" w:themeTint="98"/>
        </w:tcBorders>
      </w:tcPr>
    </w:tblStylePr>
    <w:tblStylePr w:type="band1Vert">
      <w:tblPr/>
      <w:tcPr>
        <w:tcBorders>
          <w:left w:val="single" w:sz="4" w:space="0" w:color="FFFFFF" w:themeColor="light1"/>
          <w:right w:val="single" w:sz="4" w:space="0" w:color="FFFFFF" w:themeColor="light1"/>
        </w:tcBorders>
        <w:shd w:val="clear" w:color="37FFF6" w:themeColor="accent3" w:themeTint="98" w:fill="37FFF6"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37FFF6" w:themeColor="accent3" w:themeTint="98" w:fill="37FFF6" w:themeFill="accent3" w:themeFillTint="98"/>
      </w:tcPr>
    </w:tblStylePr>
    <w:tblStylePr w:type="band2Horz">
      <w:tblPr/>
      <w:tcPr>
        <w:tcBorders>
          <w:top w:val="single" w:sz="4" w:space="0" w:color="FFFFFF" w:themeColor="light1"/>
          <w:bottom w:val="single" w:sz="4" w:space="0" w:color="FFFFFF" w:themeColor="light1"/>
        </w:tcBorders>
        <w:shd w:val="clear" w:color="37FFF6" w:themeColor="accent3" w:themeTint="98" w:fill="37FFF6"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48EDFF" w:themeColor="accent4" w:themeTint="9A"/>
        <w:left w:val="single" w:sz="32" w:space="0" w:color="48EDFF" w:themeColor="accent4" w:themeTint="9A"/>
        <w:bottom w:val="single" w:sz="32" w:space="0" w:color="48EDFF" w:themeColor="accent4" w:themeTint="9A"/>
        <w:right w:val="single" w:sz="32" w:space="0" w:color="48EDFF" w:themeColor="accent4" w:themeTint="9A"/>
      </w:tblBorders>
      <w:shd w:val="clear" w:color="48EDFF" w:themeColor="accent4" w:themeTint="9A" w:fill="48EDFF" w:themeFill="accent4" w:themeFillTint="9A"/>
    </w:tblPr>
    <w:tblStylePr w:type="firstRow">
      <w:rPr>
        <w:rFonts w:ascii="Arial" w:hAnsi="Arial"/>
        <w:b/>
        <w:color w:val="FFFFFF" w:themeColor="light1"/>
        <w:sz w:val="22"/>
      </w:rPr>
      <w:tblPr/>
      <w:tcPr>
        <w:tcBorders>
          <w:top w:val="single" w:sz="32" w:space="0" w:color="48EDFF" w:themeColor="accent4" w:themeTint="9A"/>
          <w:bottom w:val="single" w:sz="12" w:space="0" w:color="FFFFFF" w:themeColor="light1"/>
        </w:tcBorders>
        <w:shd w:val="clear" w:color="48EDFF" w:themeColor="accent4" w:themeTint="9A" w:fill="48EDFF"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EDFF" w:themeColor="accent4" w:themeTint="9A"/>
          <w:right w:val="single" w:sz="4" w:space="0" w:color="FFFFFF" w:themeColor="light1"/>
        </w:tcBorders>
      </w:tcPr>
    </w:tblStylePr>
    <w:tblStylePr w:type="lastCol">
      <w:tblPr/>
      <w:tcPr>
        <w:tcBorders>
          <w:left w:val="single" w:sz="4" w:space="0" w:color="FFFFFF" w:themeColor="light1"/>
          <w:right w:val="single" w:sz="32" w:space="0" w:color="48EDFF" w:themeColor="accent4" w:themeTint="9A"/>
        </w:tcBorders>
      </w:tcPr>
    </w:tblStylePr>
    <w:tblStylePr w:type="band1Vert">
      <w:tblPr/>
      <w:tcPr>
        <w:tcBorders>
          <w:left w:val="single" w:sz="4" w:space="0" w:color="FFFFFF" w:themeColor="light1"/>
          <w:right w:val="single" w:sz="4" w:space="0" w:color="FFFFFF" w:themeColor="light1"/>
        </w:tcBorders>
        <w:shd w:val="clear" w:color="48EDFF" w:themeColor="accent4" w:themeTint="9A" w:fill="48EDFF"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EDFF" w:themeColor="accent4" w:themeTint="9A" w:fill="48EDFF" w:themeFill="accent4" w:themeFillTint="9A"/>
      </w:tcPr>
    </w:tblStylePr>
    <w:tblStylePr w:type="band2Horz">
      <w:tblPr/>
      <w:tcPr>
        <w:tcBorders>
          <w:top w:val="single" w:sz="4" w:space="0" w:color="FFFFFF" w:themeColor="light1"/>
          <w:bottom w:val="single" w:sz="4" w:space="0" w:color="FFFFFF" w:themeColor="light1"/>
        </w:tcBorders>
        <w:shd w:val="clear" w:color="48EDFF" w:themeColor="accent4" w:themeTint="9A" w:fill="48EDFF"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A3B6DB" w:themeColor="accent5" w:themeTint="9A"/>
        <w:left w:val="single" w:sz="32" w:space="0" w:color="A3B6DB" w:themeColor="accent5" w:themeTint="9A"/>
        <w:bottom w:val="single" w:sz="32" w:space="0" w:color="A3B6DB" w:themeColor="accent5" w:themeTint="9A"/>
        <w:right w:val="single" w:sz="32" w:space="0" w:color="A3B6DB" w:themeColor="accent5" w:themeTint="9A"/>
      </w:tblBorders>
      <w:shd w:val="clear" w:color="A3B6DB" w:themeColor="accent5" w:themeTint="9A" w:fill="A3B6DB" w:themeFill="accent5" w:themeFillTint="9A"/>
    </w:tblPr>
    <w:tblStylePr w:type="firstRow">
      <w:rPr>
        <w:rFonts w:ascii="Arial" w:hAnsi="Arial"/>
        <w:b/>
        <w:color w:val="FFFFFF" w:themeColor="light1"/>
        <w:sz w:val="22"/>
      </w:rPr>
      <w:tblPr/>
      <w:tcPr>
        <w:tcBorders>
          <w:top w:val="single" w:sz="32" w:space="0" w:color="A3B6DB" w:themeColor="accent5" w:themeTint="9A"/>
          <w:bottom w:val="single" w:sz="12" w:space="0" w:color="FFFFFF" w:themeColor="light1"/>
        </w:tcBorders>
        <w:shd w:val="clear" w:color="A3B6DB" w:themeColor="accent5" w:themeTint="9A" w:fill="A3B6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3B6DB" w:themeColor="accent5" w:themeTint="9A"/>
          <w:right w:val="single" w:sz="4" w:space="0" w:color="FFFFFF" w:themeColor="light1"/>
        </w:tcBorders>
      </w:tcPr>
    </w:tblStylePr>
    <w:tblStylePr w:type="lastCol">
      <w:tblPr/>
      <w:tcPr>
        <w:tcBorders>
          <w:left w:val="single" w:sz="4" w:space="0" w:color="FFFFFF" w:themeColor="light1"/>
          <w:right w:val="single" w:sz="32" w:space="0" w:color="A3B6DB" w:themeColor="accent5" w:themeTint="9A"/>
        </w:tcBorders>
      </w:tcPr>
    </w:tblStylePr>
    <w:tblStylePr w:type="band1Vert">
      <w:tblPr/>
      <w:tcPr>
        <w:tcBorders>
          <w:left w:val="single" w:sz="4" w:space="0" w:color="FFFFFF" w:themeColor="light1"/>
          <w:right w:val="single" w:sz="4" w:space="0" w:color="FFFFFF" w:themeColor="light1"/>
        </w:tcBorders>
        <w:shd w:val="clear" w:color="A3B6DB" w:themeColor="accent5" w:themeTint="9A" w:fill="A3B6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3B6DB" w:themeColor="accent5" w:themeTint="9A" w:fill="A3B6DB" w:themeFill="accent5" w:themeFillTint="9A"/>
      </w:tcPr>
    </w:tblStylePr>
    <w:tblStylePr w:type="band2Horz">
      <w:tblPr/>
      <w:tcPr>
        <w:tcBorders>
          <w:top w:val="single" w:sz="4" w:space="0" w:color="FFFFFF" w:themeColor="light1"/>
          <w:bottom w:val="single" w:sz="4" w:space="0" w:color="FFFFFF" w:themeColor="light1"/>
        </w:tcBorders>
        <w:shd w:val="clear" w:color="A3B6DB" w:themeColor="accent5" w:themeTint="9A" w:fill="A3B6DB"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C592C6" w:themeColor="accent6" w:themeTint="98"/>
        <w:left w:val="single" w:sz="32" w:space="0" w:color="C592C6" w:themeColor="accent6" w:themeTint="98"/>
        <w:bottom w:val="single" w:sz="32" w:space="0" w:color="C592C6" w:themeColor="accent6" w:themeTint="98"/>
        <w:right w:val="single" w:sz="32" w:space="0" w:color="C592C6" w:themeColor="accent6" w:themeTint="98"/>
      </w:tblBorders>
      <w:shd w:val="clear" w:color="C592C6" w:themeColor="accent6" w:themeTint="98" w:fill="C592C6" w:themeFill="accent6" w:themeFillTint="98"/>
    </w:tblPr>
    <w:tblStylePr w:type="firstRow">
      <w:rPr>
        <w:rFonts w:ascii="Arial" w:hAnsi="Arial"/>
        <w:b/>
        <w:color w:val="FFFFFF" w:themeColor="light1"/>
        <w:sz w:val="22"/>
      </w:rPr>
      <w:tblPr/>
      <w:tcPr>
        <w:tcBorders>
          <w:top w:val="single" w:sz="32" w:space="0" w:color="C592C6" w:themeColor="accent6" w:themeTint="98"/>
          <w:bottom w:val="single" w:sz="12" w:space="0" w:color="FFFFFF" w:themeColor="light1"/>
        </w:tcBorders>
        <w:shd w:val="clear" w:color="C592C6" w:themeColor="accent6" w:themeTint="98" w:fill="C592C6"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592C6" w:themeColor="accent6" w:themeTint="98"/>
          <w:right w:val="single" w:sz="4" w:space="0" w:color="FFFFFF" w:themeColor="light1"/>
        </w:tcBorders>
      </w:tcPr>
    </w:tblStylePr>
    <w:tblStylePr w:type="lastCol">
      <w:tblPr/>
      <w:tcPr>
        <w:tcBorders>
          <w:left w:val="single" w:sz="4" w:space="0" w:color="FFFFFF" w:themeColor="light1"/>
          <w:right w:val="single" w:sz="32" w:space="0" w:color="C592C6" w:themeColor="accent6" w:themeTint="98"/>
        </w:tcBorders>
      </w:tcPr>
    </w:tblStylePr>
    <w:tblStylePr w:type="band1Vert">
      <w:tblPr/>
      <w:tcPr>
        <w:tcBorders>
          <w:left w:val="single" w:sz="4" w:space="0" w:color="FFFFFF" w:themeColor="light1"/>
          <w:right w:val="single" w:sz="4" w:space="0" w:color="FFFFFF" w:themeColor="light1"/>
        </w:tcBorders>
        <w:shd w:val="clear" w:color="C592C6" w:themeColor="accent6" w:themeTint="98" w:fill="C592C6"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592C6" w:themeColor="accent6" w:themeTint="98" w:fill="C592C6" w:themeFill="accent6" w:themeFillTint="98"/>
      </w:tcPr>
    </w:tblStylePr>
    <w:tblStylePr w:type="band2Horz">
      <w:tblPr/>
      <w:tcPr>
        <w:tcBorders>
          <w:top w:val="single" w:sz="4" w:space="0" w:color="FFFFFF" w:themeColor="light1"/>
          <w:bottom w:val="single" w:sz="4" w:space="0" w:color="FFFFFF" w:themeColor="light1"/>
        </w:tcBorders>
        <w:shd w:val="clear" w:color="C592C6" w:themeColor="accent6" w:themeTint="98" w:fill="C592C6" w:themeFill="accent6" w:themeFillTint="98"/>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00558C" w:themeColor="accent1"/>
        <w:bottom w:val="single" w:sz="4" w:space="0" w:color="00558C" w:themeColor="accent1"/>
      </w:tblBorders>
    </w:tblPr>
    <w:tblStylePr w:type="firstRow">
      <w:rPr>
        <w:b/>
        <w:color w:val="003151" w:themeColor="accent1" w:themeShade="95"/>
      </w:rPr>
      <w:tblPr/>
      <w:tcPr>
        <w:tcBorders>
          <w:bottom w:val="single" w:sz="4" w:space="0" w:color="00558C" w:themeColor="accent1"/>
        </w:tcBorders>
      </w:tcPr>
    </w:tblStylePr>
    <w:tblStylePr w:type="lastRow">
      <w:rPr>
        <w:b/>
        <w:color w:val="003151" w:themeColor="accent1" w:themeShade="95"/>
      </w:rPr>
      <w:tblPr/>
      <w:tcPr>
        <w:tcBorders>
          <w:top w:val="single" w:sz="4" w:space="0" w:color="00558C" w:themeColor="accent1"/>
        </w:tcBorders>
      </w:tcPr>
    </w:tblStylePr>
    <w:tblStylePr w:type="firstCol">
      <w:rPr>
        <w:b/>
        <w:color w:val="003151" w:themeColor="accent1" w:themeShade="95"/>
      </w:rPr>
    </w:tblStylePr>
    <w:tblStylePr w:type="lastCol">
      <w:rPr>
        <w:b/>
        <w:color w:val="003151" w:themeColor="accent1" w:themeShade="95"/>
      </w:rPr>
    </w:tblStylePr>
    <w:tblStylePr w:type="band1Vert">
      <w:tblPr/>
      <w:tcPr>
        <w:shd w:val="clear" w:color="A2DAFF" w:themeColor="accent1" w:themeTint="40" w:fill="A2DAFF" w:themeFill="accent1" w:themeFillTint="40"/>
      </w:tcPr>
    </w:tblStylePr>
    <w:tblStylePr w:type="band1Horz">
      <w:rPr>
        <w:rFonts w:ascii="Arial" w:hAnsi="Arial"/>
        <w:color w:val="003151" w:themeColor="accent1" w:themeShade="95"/>
        <w:sz w:val="22"/>
      </w:rPr>
      <w:tblPr/>
      <w:tcPr>
        <w:shd w:val="clear" w:color="A2DAFF" w:themeColor="accent1" w:themeTint="40" w:fill="A2DAFF" w:themeFill="accent1" w:themeFillTint="40"/>
      </w:tcPr>
    </w:tblStylePr>
    <w:tblStylePr w:type="band2Horz">
      <w:rPr>
        <w:rFonts w:ascii="Arial" w:hAnsi="Arial"/>
        <w:color w:val="003151"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57CCFF" w:themeColor="accent2" w:themeTint="97"/>
        <w:bottom w:val="single" w:sz="4" w:space="0" w:color="57CCFF" w:themeColor="accent2" w:themeTint="97"/>
      </w:tblBorders>
    </w:tblPr>
    <w:tblStylePr w:type="firstRow">
      <w:rPr>
        <w:b/>
        <w:color w:val="57CCFF" w:themeColor="accent2" w:themeTint="97" w:themeShade="95"/>
      </w:rPr>
      <w:tblPr/>
      <w:tcPr>
        <w:tcBorders>
          <w:bottom w:val="single" w:sz="4" w:space="0" w:color="57CCFF" w:themeColor="accent2" w:themeTint="97"/>
        </w:tcBorders>
      </w:tcPr>
    </w:tblStylePr>
    <w:tblStylePr w:type="lastRow">
      <w:rPr>
        <w:b/>
        <w:color w:val="57CCFF" w:themeColor="accent2" w:themeTint="97" w:themeShade="95"/>
      </w:rPr>
      <w:tblPr/>
      <w:tcPr>
        <w:tcBorders>
          <w:top w:val="single" w:sz="4" w:space="0" w:color="57CCFF" w:themeColor="accent2" w:themeTint="97"/>
        </w:tcBorders>
      </w:tcPr>
    </w:tblStylePr>
    <w:tblStylePr w:type="firstCol">
      <w:rPr>
        <w:b/>
        <w:color w:val="57CCFF" w:themeColor="accent2" w:themeTint="97" w:themeShade="95"/>
      </w:rPr>
    </w:tblStylePr>
    <w:tblStylePr w:type="lastCol">
      <w:rPr>
        <w:b/>
        <w:color w:val="57CCFF" w:themeColor="accent2" w:themeTint="97" w:themeShade="95"/>
      </w:rPr>
    </w:tblStylePr>
    <w:tblStylePr w:type="band1Vert">
      <w:tblPr/>
      <w:tcPr>
        <w:shd w:val="clear" w:color="B7E9FF" w:themeColor="accent2" w:themeTint="40" w:fill="B7E9FF" w:themeFill="accent2" w:themeFillTint="40"/>
      </w:tcPr>
    </w:tblStylePr>
    <w:tblStylePr w:type="band1Horz">
      <w:rPr>
        <w:rFonts w:ascii="Arial" w:hAnsi="Arial"/>
        <w:color w:val="57CCFF" w:themeColor="accent2" w:themeTint="97" w:themeShade="95"/>
        <w:sz w:val="22"/>
      </w:rPr>
      <w:tblPr/>
      <w:tcPr>
        <w:shd w:val="clear" w:color="B7E9FF" w:themeColor="accent2" w:themeTint="40" w:fill="B7E9FF" w:themeFill="accent2" w:themeFillTint="40"/>
      </w:tcPr>
    </w:tblStylePr>
    <w:tblStylePr w:type="band2Horz">
      <w:rPr>
        <w:rFonts w:ascii="Arial" w:hAnsi="Arial"/>
        <w:color w:val="57CCFF"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37FFF6" w:themeColor="accent3" w:themeTint="98"/>
        <w:bottom w:val="single" w:sz="4" w:space="0" w:color="37FFF6" w:themeColor="accent3" w:themeTint="98"/>
      </w:tblBorders>
    </w:tblPr>
    <w:tblStylePr w:type="firstRow">
      <w:rPr>
        <w:b/>
        <w:color w:val="37FFF6" w:themeColor="accent3" w:themeTint="98" w:themeShade="95"/>
      </w:rPr>
      <w:tblPr/>
      <w:tcPr>
        <w:tcBorders>
          <w:bottom w:val="single" w:sz="4" w:space="0" w:color="37FFF6" w:themeColor="accent3" w:themeTint="98"/>
        </w:tcBorders>
      </w:tcPr>
    </w:tblStylePr>
    <w:tblStylePr w:type="lastRow">
      <w:rPr>
        <w:b/>
        <w:color w:val="37FFF6" w:themeColor="accent3" w:themeTint="98" w:themeShade="95"/>
      </w:rPr>
      <w:tblPr/>
      <w:tcPr>
        <w:tcBorders>
          <w:top w:val="single" w:sz="4" w:space="0" w:color="37FFF6" w:themeColor="accent3" w:themeTint="98"/>
        </w:tcBorders>
      </w:tcPr>
    </w:tblStylePr>
    <w:tblStylePr w:type="firstCol">
      <w:rPr>
        <w:b/>
        <w:color w:val="37FFF6" w:themeColor="accent3" w:themeTint="98" w:themeShade="95"/>
      </w:rPr>
    </w:tblStylePr>
    <w:tblStylePr w:type="lastCol">
      <w:rPr>
        <w:b/>
        <w:color w:val="37FFF6" w:themeColor="accent3" w:themeTint="98" w:themeShade="95"/>
      </w:rPr>
    </w:tblStylePr>
    <w:tblStylePr w:type="band1Vert">
      <w:tblPr/>
      <w:tcPr>
        <w:shd w:val="clear" w:color="ABFFFB" w:themeColor="accent3" w:themeTint="40" w:fill="ABFFFB" w:themeFill="accent3" w:themeFillTint="40"/>
      </w:tcPr>
    </w:tblStylePr>
    <w:tblStylePr w:type="band1Horz">
      <w:rPr>
        <w:rFonts w:ascii="Arial" w:hAnsi="Arial"/>
        <w:color w:val="37FFF6" w:themeColor="accent3" w:themeTint="98" w:themeShade="95"/>
        <w:sz w:val="22"/>
      </w:rPr>
      <w:tblPr/>
      <w:tcPr>
        <w:shd w:val="clear" w:color="ABFFFB" w:themeColor="accent3" w:themeTint="40" w:fill="ABFFFB" w:themeFill="accent3" w:themeFillTint="40"/>
      </w:tcPr>
    </w:tblStylePr>
    <w:tblStylePr w:type="band2Horz">
      <w:rPr>
        <w:rFonts w:ascii="Arial" w:hAnsi="Arial"/>
        <w:color w:val="37FFF6"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48EDFF" w:themeColor="accent4" w:themeTint="9A"/>
        <w:bottom w:val="single" w:sz="4" w:space="0" w:color="48EDFF" w:themeColor="accent4" w:themeTint="9A"/>
      </w:tblBorders>
    </w:tblPr>
    <w:tblStylePr w:type="firstRow">
      <w:rPr>
        <w:b/>
        <w:color w:val="48EDFF" w:themeColor="accent4" w:themeTint="9A" w:themeShade="95"/>
      </w:rPr>
      <w:tblPr/>
      <w:tcPr>
        <w:tcBorders>
          <w:bottom w:val="single" w:sz="4" w:space="0" w:color="48EDFF" w:themeColor="accent4" w:themeTint="9A"/>
        </w:tcBorders>
      </w:tcPr>
    </w:tblStylePr>
    <w:tblStylePr w:type="lastRow">
      <w:rPr>
        <w:b/>
        <w:color w:val="48EDFF" w:themeColor="accent4" w:themeTint="9A" w:themeShade="95"/>
      </w:rPr>
      <w:tblPr/>
      <w:tcPr>
        <w:tcBorders>
          <w:top w:val="single" w:sz="4" w:space="0" w:color="48EDFF" w:themeColor="accent4" w:themeTint="9A"/>
        </w:tcBorders>
      </w:tcPr>
    </w:tblStylePr>
    <w:tblStylePr w:type="firstCol">
      <w:rPr>
        <w:b/>
        <w:color w:val="48EDFF" w:themeColor="accent4" w:themeTint="9A" w:themeShade="95"/>
      </w:rPr>
    </w:tblStylePr>
    <w:tblStylePr w:type="lastCol">
      <w:rPr>
        <w:b/>
        <w:color w:val="48EDFF" w:themeColor="accent4" w:themeTint="9A" w:themeShade="95"/>
      </w:rPr>
    </w:tblStylePr>
    <w:tblStylePr w:type="band1Vert">
      <w:tblPr/>
      <w:tcPr>
        <w:shd w:val="clear" w:color="B3F7FF" w:themeColor="accent4" w:themeTint="40" w:fill="B3F7FF" w:themeFill="accent4" w:themeFillTint="40"/>
      </w:tcPr>
    </w:tblStylePr>
    <w:tblStylePr w:type="band1Horz">
      <w:rPr>
        <w:rFonts w:ascii="Arial" w:hAnsi="Arial"/>
        <w:color w:val="48EDFF" w:themeColor="accent4" w:themeTint="9A" w:themeShade="95"/>
        <w:sz w:val="22"/>
      </w:rPr>
      <w:tblPr/>
      <w:tcPr>
        <w:shd w:val="clear" w:color="B3F7FF" w:themeColor="accent4" w:themeTint="40" w:fill="B3F7FF" w:themeFill="accent4" w:themeFillTint="40"/>
      </w:tcPr>
    </w:tblStylePr>
    <w:tblStylePr w:type="band2Horz">
      <w:rPr>
        <w:rFonts w:ascii="Arial" w:hAnsi="Arial"/>
        <w:color w:val="48EDFF"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A3B6DB" w:themeColor="accent5" w:themeTint="9A"/>
        <w:bottom w:val="single" w:sz="4" w:space="0" w:color="A3B6DB" w:themeColor="accent5" w:themeTint="9A"/>
      </w:tblBorders>
    </w:tblPr>
    <w:tblStylePr w:type="firstRow">
      <w:rPr>
        <w:b/>
        <w:color w:val="A3B6DB" w:themeColor="accent5" w:themeTint="9A" w:themeShade="95"/>
      </w:rPr>
      <w:tblPr/>
      <w:tcPr>
        <w:tcBorders>
          <w:bottom w:val="single" w:sz="4" w:space="0" w:color="A3B6DB" w:themeColor="accent5" w:themeTint="9A"/>
        </w:tcBorders>
      </w:tcPr>
    </w:tblStylePr>
    <w:tblStylePr w:type="lastRow">
      <w:rPr>
        <w:b/>
        <w:color w:val="A3B6DB" w:themeColor="accent5" w:themeTint="9A" w:themeShade="95"/>
      </w:rPr>
      <w:tblPr/>
      <w:tcPr>
        <w:tcBorders>
          <w:top w:val="single" w:sz="4" w:space="0" w:color="A3B6DB" w:themeColor="accent5" w:themeTint="9A"/>
        </w:tcBorders>
      </w:tcPr>
    </w:tblStylePr>
    <w:tblStylePr w:type="firstCol">
      <w:rPr>
        <w:b/>
        <w:color w:val="A3B6DB" w:themeColor="accent5" w:themeTint="9A" w:themeShade="95"/>
      </w:rPr>
    </w:tblStylePr>
    <w:tblStylePr w:type="lastCol">
      <w:rPr>
        <w:b/>
        <w:color w:val="A3B6DB" w:themeColor="accent5" w:themeTint="9A" w:themeShade="95"/>
      </w:rPr>
    </w:tblStylePr>
    <w:tblStylePr w:type="band1Vert">
      <w:tblPr/>
      <w:tcPr>
        <w:shd w:val="clear" w:color="D8E0F0" w:themeColor="accent5" w:themeTint="40" w:fill="D8E0F0" w:themeFill="accent5" w:themeFillTint="40"/>
      </w:tcPr>
    </w:tblStylePr>
    <w:tblStylePr w:type="band1Horz">
      <w:rPr>
        <w:rFonts w:ascii="Arial" w:hAnsi="Arial"/>
        <w:color w:val="A3B6DB" w:themeColor="accent5" w:themeTint="9A" w:themeShade="95"/>
        <w:sz w:val="22"/>
      </w:rPr>
      <w:tblPr/>
      <w:tcPr>
        <w:shd w:val="clear" w:color="D8E0F0" w:themeColor="accent5" w:themeTint="40" w:fill="D8E0F0" w:themeFill="accent5" w:themeFillTint="40"/>
      </w:tcPr>
    </w:tblStylePr>
    <w:tblStylePr w:type="band2Horz">
      <w:rPr>
        <w:rFonts w:ascii="Arial" w:hAnsi="Arial"/>
        <w:color w:val="A3B6DB"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C592C6" w:themeColor="accent6" w:themeTint="98"/>
        <w:bottom w:val="single" w:sz="4" w:space="0" w:color="C592C6" w:themeColor="accent6" w:themeTint="98"/>
      </w:tblBorders>
    </w:tblPr>
    <w:tblStylePr w:type="firstRow">
      <w:rPr>
        <w:b/>
        <w:color w:val="C592C6" w:themeColor="accent6" w:themeTint="98" w:themeShade="95"/>
      </w:rPr>
      <w:tblPr/>
      <w:tcPr>
        <w:tcBorders>
          <w:bottom w:val="single" w:sz="4" w:space="0" w:color="C592C6" w:themeColor="accent6" w:themeTint="98"/>
        </w:tcBorders>
      </w:tcPr>
    </w:tblStylePr>
    <w:tblStylePr w:type="lastRow">
      <w:rPr>
        <w:b/>
        <w:color w:val="C592C6" w:themeColor="accent6" w:themeTint="98" w:themeShade="95"/>
      </w:rPr>
      <w:tblPr/>
      <w:tcPr>
        <w:tcBorders>
          <w:top w:val="single" w:sz="4" w:space="0" w:color="C592C6" w:themeColor="accent6" w:themeTint="98"/>
        </w:tcBorders>
      </w:tcPr>
    </w:tblStylePr>
    <w:tblStylePr w:type="firstCol">
      <w:rPr>
        <w:b/>
        <w:color w:val="C592C6" w:themeColor="accent6" w:themeTint="98" w:themeShade="95"/>
      </w:rPr>
    </w:tblStylePr>
    <w:tblStylePr w:type="lastCol">
      <w:rPr>
        <w:b/>
        <w:color w:val="C592C6" w:themeColor="accent6" w:themeTint="98" w:themeShade="95"/>
      </w:rPr>
    </w:tblStylePr>
    <w:tblStylePr w:type="band1Vert">
      <w:tblPr/>
      <w:tcPr>
        <w:shd w:val="clear" w:color="E6D1E7" w:themeColor="accent6" w:themeTint="40" w:fill="E6D1E7" w:themeFill="accent6" w:themeFillTint="40"/>
      </w:tcPr>
    </w:tblStylePr>
    <w:tblStylePr w:type="band1Horz">
      <w:rPr>
        <w:rFonts w:ascii="Arial" w:hAnsi="Arial"/>
        <w:color w:val="C592C6" w:themeColor="accent6" w:themeTint="98" w:themeShade="95"/>
        <w:sz w:val="22"/>
      </w:rPr>
      <w:tblPr/>
      <w:tcPr>
        <w:shd w:val="clear" w:color="E6D1E7" w:themeColor="accent6" w:themeTint="40" w:fill="E6D1E7" w:themeFill="accent6" w:themeFillTint="40"/>
      </w:tcPr>
    </w:tblStylePr>
    <w:tblStylePr w:type="band2Horz">
      <w:rPr>
        <w:rFonts w:ascii="Arial" w:hAnsi="Arial"/>
        <w:color w:val="C592C6" w:themeColor="accent6" w:themeTint="98" w:themeShade="95"/>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00558C" w:themeColor="accent1"/>
      </w:tblBorders>
    </w:tblPr>
    <w:tblStylePr w:type="firstRow">
      <w:rPr>
        <w:rFonts w:ascii="Arial" w:hAnsi="Arial"/>
        <w:i/>
        <w:color w:val="003151" w:themeColor="accent1" w:themeShade="95"/>
        <w:sz w:val="22"/>
      </w:rPr>
      <w:tblPr/>
      <w:tcPr>
        <w:tcBorders>
          <w:top w:val="none" w:sz="0" w:space="0" w:color="auto"/>
          <w:left w:val="none" w:sz="0" w:space="0" w:color="auto"/>
          <w:bottom w:val="single" w:sz="4" w:space="0" w:color="00558C" w:themeColor="accent1"/>
          <w:right w:val="none" w:sz="0" w:space="0" w:color="auto"/>
        </w:tcBorders>
        <w:shd w:val="clear" w:color="FFFFFF" w:themeColor="light1" w:fill="FFFFFF" w:themeFill="light1"/>
      </w:tcPr>
    </w:tblStylePr>
    <w:tblStylePr w:type="lastRow">
      <w:rPr>
        <w:rFonts w:ascii="Arial" w:hAnsi="Arial"/>
        <w:i/>
        <w:color w:val="003151" w:themeColor="accent1" w:themeShade="95"/>
        <w:sz w:val="22"/>
      </w:rPr>
      <w:tblPr/>
      <w:tcPr>
        <w:tcBorders>
          <w:top w:val="single" w:sz="4" w:space="0" w:color="00558C"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03151" w:themeColor="accent1" w:themeShade="95"/>
        <w:sz w:val="22"/>
      </w:rPr>
      <w:tblPr/>
      <w:tcPr>
        <w:tcBorders>
          <w:top w:val="none" w:sz="0" w:space="0" w:color="auto"/>
          <w:left w:val="none" w:sz="0" w:space="0" w:color="auto"/>
          <w:bottom w:val="none" w:sz="0" w:space="0" w:color="auto"/>
          <w:right w:val="single" w:sz="4" w:space="0" w:color="00558C" w:themeColor="accent1"/>
        </w:tcBorders>
        <w:shd w:val="clear" w:color="FFFFFF" w:fill="auto"/>
      </w:tcPr>
    </w:tblStylePr>
    <w:tblStylePr w:type="lastCol">
      <w:rPr>
        <w:rFonts w:ascii="Arial" w:hAnsi="Arial"/>
        <w:i/>
        <w:color w:val="003151" w:themeColor="accent1" w:themeShade="95"/>
        <w:sz w:val="22"/>
      </w:rPr>
      <w:tblPr/>
      <w:tcPr>
        <w:tcBorders>
          <w:top w:val="none" w:sz="0" w:space="0" w:color="auto"/>
          <w:left w:val="single" w:sz="4" w:space="0" w:color="00558C" w:themeColor="accent1"/>
          <w:bottom w:val="none" w:sz="0" w:space="0" w:color="auto"/>
          <w:right w:val="none" w:sz="0" w:space="0" w:color="auto"/>
        </w:tcBorders>
        <w:shd w:val="clear" w:color="FFFFFF" w:fill="auto"/>
      </w:tcPr>
    </w:tblStylePr>
    <w:tblStylePr w:type="band1Vert">
      <w:tblPr/>
      <w:tcPr>
        <w:shd w:val="clear" w:color="A2DAFF" w:themeColor="accent1" w:themeTint="40" w:fill="A2DAFF" w:themeFill="accent1" w:themeFillTint="40"/>
      </w:tcPr>
    </w:tblStylePr>
    <w:tblStylePr w:type="band1Horz">
      <w:rPr>
        <w:rFonts w:ascii="Arial" w:hAnsi="Arial"/>
        <w:color w:val="003151" w:themeColor="accent1" w:themeShade="95"/>
        <w:sz w:val="22"/>
      </w:rPr>
      <w:tblPr/>
      <w:tcPr>
        <w:shd w:val="clear" w:color="A2DAFF" w:themeColor="accent1" w:themeTint="40" w:fill="A2DAFF" w:themeFill="accent1" w:themeFillTint="40"/>
      </w:tcPr>
    </w:tblStylePr>
    <w:tblStylePr w:type="band2Horz">
      <w:rPr>
        <w:rFonts w:ascii="Arial" w:hAnsi="Arial"/>
        <w:color w:val="003151"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57CCFF" w:themeColor="accent2" w:themeTint="97"/>
      </w:tblBorders>
    </w:tblPr>
    <w:tblStylePr w:type="firstRow">
      <w:rPr>
        <w:rFonts w:ascii="Arial" w:hAnsi="Arial"/>
        <w:i/>
        <w:color w:val="57CCFF" w:themeColor="accent2" w:themeTint="97" w:themeShade="95"/>
        <w:sz w:val="22"/>
      </w:rPr>
      <w:tblPr/>
      <w:tcPr>
        <w:tcBorders>
          <w:top w:val="none" w:sz="0" w:space="0" w:color="auto"/>
          <w:left w:val="none" w:sz="0" w:space="0" w:color="auto"/>
          <w:bottom w:val="single" w:sz="4" w:space="0" w:color="57CCFF" w:themeColor="accent2" w:themeTint="97"/>
          <w:right w:val="none" w:sz="0" w:space="0" w:color="auto"/>
        </w:tcBorders>
        <w:shd w:val="clear" w:color="FFFFFF" w:themeColor="light1" w:fill="FFFFFF" w:themeFill="light1"/>
      </w:tcPr>
    </w:tblStylePr>
    <w:tblStylePr w:type="lastRow">
      <w:rPr>
        <w:rFonts w:ascii="Arial" w:hAnsi="Arial"/>
        <w:i/>
        <w:color w:val="57CCFF" w:themeColor="accent2" w:themeTint="97" w:themeShade="95"/>
        <w:sz w:val="22"/>
      </w:rPr>
      <w:tblPr/>
      <w:tcPr>
        <w:tcBorders>
          <w:top w:val="single" w:sz="4" w:space="0" w:color="57CCFF"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7CCFF" w:themeColor="accent2" w:themeTint="97" w:themeShade="95"/>
        <w:sz w:val="22"/>
      </w:rPr>
      <w:tblPr/>
      <w:tcPr>
        <w:tcBorders>
          <w:top w:val="none" w:sz="0" w:space="0" w:color="auto"/>
          <w:left w:val="none" w:sz="0" w:space="0" w:color="auto"/>
          <w:bottom w:val="none" w:sz="0" w:space="0" w:color="auto"/>
          <w:right w:val="single" w:sz="4" w:space="0" w:color="57CCFF" w:themeColor="accent2" w:themeTint="97"/>
        </w:tcBorders>
        <w:shd w:val="clear" w:color="FFFFFF" w:fill="auto"/>
      </w:tcPr>
    </w:tblStylePr>
    <w:tblStylePr w:type="lastCol">
      <w:rPr>
        <w:rFonts w:ascii="Arial" w:hAnsi="Arial"/>
        <w:i/>
        <w:color w:val="57CCFF" w:themeColor="accent2" w:themeTint="97" w:themeShade="95"/>
        <w:sz w:val="22"/>
      </w:rPr>
      <w:tblPr/>
      <w:tcPr>
        <w:tcBorders>
          <w:top w:val="none" w:sz="0" w:space="0" w:color="auto"/>
          <w:left w:val="single" w:sz="4" w:space="0" w:color="57CCFF" w:themeColor="accent2" w:themeTint="97"/>
          <w:bottom w:val="none" w:sz="0" w:space="0" w:color="auto"/>
          <w:right w:val="none" w:sz="0" w:space="0" w:color="auto"/>
        </w:tcBorders>
        <w:shd w:val="clear" w:color="FFFFFF" w:fill="auto"/>
      </w:tcPr>
    </w:tblStylePr>
    <w:tblStylePr w:type="band1Vert">
      <w:tblPr/>
      <w:tcPr>
        <w:shd w:val="clear" w:color="B7E9FF" w:themeColor="accent2" w:themeTint="40" w:fill="B7E9FF" w:themeFill="accent2" w:themeFillTint="40"/>
      </w:tcPr>
    </w:tblStylePr>
    <w:tblStylePr w:type="band1Horz">
      <w:rPr>
        <w:rFonts w:ascii="Arial" w:hAnsi="Arial"/>
        <w:color w:val="57CCFF" w:themeColor="accent2" w:themeTint="97" w:themeShade="95"/>
        <w:sz w:val="22"/>
      </w:rPr>
      <w:tblPr/>
      <w:tcPr>
        <w:shd w:val="clear" w:color="B7E9FF" w:themeColor="accent2" w:themeTint="40" w:fill="B7E9FF" w:themeFill="accent2" w:themeFillTint="40"/>
      </w:tcPr>
    </w:tblStylePr>
    <w:tblStylePr w:type="band2Horz">
      <w:rPr>
        <w:rFonts w:ascii="Arial" w:hAnsi="Arial"/>
        <w:color w:val="57CCFF"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37FFF6" w:themeColor="accent3" w:themeTint="98"/>
      </w:tblBorders>
    </w:tblPr>
    <w:tblStylePr w:type="firstRow">
      <w:rPr>
        <w:rFonts w:ascii="Arial" w:hAnsi="Arial"/>
        <w:i/>
        <w:color w:val="37FFF6" w:themeColor="accent3" w:themeTint="98" w:themeShade="95"/>
        <w:sz w:val="22"/>
      </w:rPr>
      <w:tblPr/>
      <w:tcPr>
        <w:tcBorders>
          <w:top w:val="none" w:sz="0" w:space="0" w:color="auto"/>
          <w:left w:val="none" w:sz="0" w:space="0" w:color="auto"/>
          <w:bottom w:val="single" w:sz="4" w:space="0" w:color="37FFF6" w:themeColor="accent3" w:themeTint="98"/>
          <w:right w:val="none" w:sz="0" w:space="0" w:color="auto"/>
        </w:tcBorders>
        <w:shd w:val="clear" w:color="FFFFFF" w:themeColor="light1" w:fill="FFFFFF" w:themeFill="light1"/>
      </w:tcPr>
    </w:tblStylePr>
    <w:tblStylePr w:type="lastRow">
      <w:rPr>
        <w:rFonts w:ascii="Arial" w:hAnsi="Arial"/>
        <w:i/>
        <w:color w:val="37FFF6" w:themeColor="accent3" w:themeTint="98" w:themeShade="95"/>
        <w:sz w:val="22"/>
      </w:rPr>
      <w:tblPr/>
      <w:tcPr>
        <w:tcBorders>
          <w:top w:val="single" w:sz="4" w:space="0" w:color="37FFF6"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37FFF6" w:themeColor="accent3" w:themeTint="98" w:themeShade="95"/>
        <w:sz w:val="22"/>
      </w:rPr>
      <w:tblPr/>
      <w:tcPr>
        <w:tcBorders>
          <w:top w:val="none" w:sz="0" w:space="0" w:color="auto"/>
          <w:left w:val="none" w:sz="0" w:space="0" w:color="auto"/>
          <w:bottom w:val="none" w:sz="0" w:space="0" w:color="auto"/>
          <w:right w:val="single" w:sz="4" w:space="0" w:color="37FFF6" w:themeColor="accent3" w:themeTint="98"/>
        </w:tcBorders>
        <w:shd w:val="clear" w:color="FFFFFF" w:fill="auto"/>
      </w:tcPr>
    </w:tblStylePr>
    <w:tblStylePr w:type="lastCol">
      <w:rPr>
        <w:rFonts w:ascii="Arial" w:hAnsi="Arial"/>
        <w:i/>
        <w:color w:val="37FFF6" w:themeColor="accent3" w:themeTint="98" w:themeShade="95"/>
        <w:sz w:val="22"/>
      </w:rPr>
      <w:tblPr/>
      <w:tcPr>
        <w:tcBorders>
          <w:top w:val="none" w:sz="0" w:space="0" w:color="auto"/>
          <w:left w:val="single" w:sz="4" w:space="0" w:color="37FFF6" w:themeColor="accent3" w:themeTint="98"/>
          <w:bottom w:val="none" w:sz="0" w:space="0" w:color="auto"/>
          <w:right w:val="none" w:sz="0" w:space="0" w:color="auto"/>
        </w:tcBorders>
        <w:shd w:val="clear" w:color="FFFFFF" w:fill="auto"/>
      </w:tcPr>
    </w:tblStylePr>
    <w:tblStylePr w:type="band1Vert">
      <w:tblPr/>
      <w:tcPr>
        <w:shd w:val="clear" w:color="ABFFFB" w:themeColor="accent3" w:themeTint="40" w:fill="ABFFFB" w:themeFill="accent3" w:themeFillTint="40"/>
      </w:tcPr>
    </w:tblStylePr>
    <w:tblStylePr w:type="band1Horz">
      <w:rPr>
        <w:rFonts w:ascii="Arial" w:hAnsi="Arial"/>
        <w:color w:val="37FFF6" w:themeColor="accent3" w:themeTint="98" w:themeShade="95"/>
        <w:sz w:val="22"/>
      </w:rPr>
      <w:tblPr/>
      <w:tcPr>
        <w:shd w:val="clear" w:color="ABFFFB" w:themeColor="accent3" w:themeTint="40" w:fill="ABFFFB" w:themeFill="accent3" w:themeFillTint="40"/>
      </w:tcPr>
    </w:tblStylePr>
    <w:tblStylePr w:type="band2Horz">
      <w:rPr>
        <w:rFonts w:ascii="Arial" w:hAnsi="Arial"/>
        <w:color w:val="37FFF6"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48EDFF" w:themeColor="accent4" w:themeTint="9A"/>
      </w:tblBorders>
    </w:tblPr>
    <w:tblStylePr w:type="firstRow">
      <w:rPr>
        <w:rFonts w:ascii="Arial" w:hAnsi="Arial"/>
        <w:i/>
        <w:color w:val="48EDFF" w:themeColor="accent4" w:themeTint="9A" w:themeShade="95"/>
        <w:sz w:val="22"/>
      </w:rPr>
      <w:tblPr/>
      <w:tcPr>
        <w:tcBorders>
          <w:top w:val="none" w:sz="0" w:space="0" w:color="auto"/>
          <w:left w:val="none" w:sz="0" w:space="0" w:color="auto"/>
          <w:bottom w:val="single" w:sz="4" w:space="0" w:color="48EDFF" w:themeColor="accent4" w:themeTint="9A"/>
          <w:right w:val="none" w:sz="0" w:space="0" w:color="auto"/>
        </w:tcBorders>
        <w:shd w:val="clear" w:color="FFFFFF" w:themeColor="light1" w:fill="FFFFFF" w:themeFill="light1"/>
      </w:tcPr>
    </w:tblStylePr>
    <w:tblStylePr w:type="lastRow">
      <w:rPr>
        <w:rFonts w:ascii="Arial" w:hAnsi="Arial"/>
        <w:i/>
        <w:color w:val="48EDFF" w:themeColor="accent4" w:themeTint="9A" w:themeShade="95"/>
        <w:sz w:val="22"/>
      </w:rPr>
      <w:tblPr/>
      <w:tcPr>
        <w:tcBorders>
          <w:top w:val="single" w:sz="4" w:space="0" w:color="48EDFF"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8EDFF" w:themeColor="accent4" w:themeTint="9A" w:themeShade="95"/>
        <w:sz w:val="22"/>
      </w:rPr>
      <w:tblPr/>
      <w:tcPr>
        <w:tcBorders>
          <w:top w:val="none" w:sz="0" w:space="0" w:color="auto"/>
          <w:left w:val="none" w:sz="0" w:space="0" w:color="auto"/>
          <w:bottom w:val="none" w:sz="0" w:space="0" w:color="auto"/>
          <w:right w:val="single" w:sz="4" w:space="0" w:color="48EDFF" w:themeColor="accent4" w:themeTint="9A"/>
        </w:tcBorders>
        <w:shd w:val="clear" w:color="FFFFFF" w:fill="auto"/>
      </w:tcPr>
    </w:tblStylePr>
    <w:tblStylePr w:type="lastCol">
      <w:rPr>
        <w:rFonts w:ascii="Arial" w:hAnsi="Arial"/>
        <w:i/>
        <w:color w:val="48EDFF" w:themeColor="accent4" w:themeTint="9A" w:themeShade="95"/>
        <w:sz w:val="22"/>
      </w:rPr>
      <w:tblPr/>
      <w:tcPr>
        <w:tcBorders>
          <w:top w:val="none" w:sz="0" w:space="0" w:color="auto"/>
          <w:left w:val="single" w:sz="4" w:space="0" w:color="48EDFF" w:themeColor="accent4" w:themeTint="9A"/>
          <w:bottom w:val="none" w:sz="0" w:space="0" w:color="auto"/>
          <w:right w:val="none" w:sz="0" w:space="0" w:color="auto"/>
        </w:tcBorders>
        <w:shd w:val="clear" w:color="FFFFFF" w:fill="auto"/>
      </w:tcPr>
    </w:tblStylePr>
    <w:tblStylePr w:type="band1Vert">
      <w:tblPr/>
      <w:tcPr>
        <w:shd w:val="clear" w:color="B3F7FF" w:themeColor="accent4" w:themeTint="40" w:fill="B3F7FF" w:themeFill="accent4" w:themeFillTint="40"/>
      </w:tcPr>
    </w:tblStylePr>
    <w:tblStylePr w:type="band1Horz">
      <w:rPr>
        <w:rFonts w:ascii="Arial" w:hAnsi="Arial"/>
        <w:color w:val="48EDFF" w:themeColor="accent4" w:themeTint="9A" w:themeShade="95"/>
        <w:sz w:val="22"/>
      </w:rPr>
      <w:tblPr/>
      <w:tcPr>
        <w:shd w:val="clear" w:color="B3F7FF" w:themeColor="accent4" w:themeTint="40" w:fill="B3F7FF" w:themeFill="accent4" w:themeFillTint="40"/>
      </w:tcPr>
    </w:tblStylePr>
    <w:tblStylePr w:type="band2Horz">
      <w:rPr>
        <w:rFonts w:ascii="Arial" w:hAnsi="Arial"/>
        <w:color w:val="48EDFF"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A3B6DB" w:themeColor="accent5" w:themeTint="9A"/>
      </w:tblBorders>
    </w:tblPr>
    <w:tblStylePr w:type="firstRow">
      <w:rPr>
        <w:rFonts w:ascii="Arial" w:hAnsi="Arial"/>
        <w:i/>
        <w:color w:val="A3B6DB" w:themeColor="accent5" w:themeTint="9A" w:themeShade="95"/>
        <w:sz w:val="22"/>
      </w:rPr>
      <w:tblPr/>
      <w:tcPr>
        <w:tcBorders>
          <w:top w:val="none" w:sz="0" w:space="0" w:color="auto"/>
          <w:left w:val="none" w:sz="0" w:space="0" w:color="auto"/>
          <w:bottom w:val="single" w:sz="4" w:space="0" w:color="A3B6DB" w:themeColor="accent5" w:themeTint="9A"/>
          <w:right w:val="none" w:sz="0" w:space="0" w:color="auto"/>
        </w:tcBorders>
        <w:shd w:val="clear" w:color="FFFFFF" w:themeColor="light1" w:fill="FFFFFF" w:themeFill="light1"/>
      </w:tcPr>
    </w:tblStylePr>
    <w:tblStylePr w:type="lastRow">
      <w:rPr>
        <w:rFonts w:ascii="Arial" w:hAnsi="Arial"/>
        <w:i/>
        <w:color w:val="A3B6DB" w:themeColor="accent5" w:themeTint="9A" w:themeShade="95"/>
        <w:sz w:val="22"/>
      </w:rPr>
      <w:tblPr/>
      <w:tcPr>
        <w:tcBorders>
          <w:top w:val="single" w:sz="4" w:space="0" w:color="A3B6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3B6DB" w:themeColor="accent5" w:themeTint="9A" w:themeShade="95"/>
        <w:sz w:val="22"/>
      </w:rPr>
      <w:tblPr/>
      <w:tcPr>
        <w:tcBorders>
          <w:top w:val="none" w:sz="0" w:space="0" w:color="auto"/>
          <w:left w:val="none" w:sz="0" w:space="0" w:color="auto"/>
          <w:bottom w:val="none" w:sz="0" w:space="0" w:color="auto"/>
          <w:right w:val="single" w:sz="4" w:space="0" w:color="A3B6DB" w:themeColor="accent5" w:themeTint="9A"/>
        </w:tcBorders>
        <w:shd w:val="clear" w:color="FFFFFF" w:fill="auto"/>
      </w:tcPr>
    </w:tblStylePr>
    <w:tblStylePr w:type="lastCol">
      <w:rPr>
        <w:rFonts w:ascii="Arial" w:hAnsi="Arial"/>
        <w:i/>
        <w:color w:val="A3B6DB" w:themeColor="accent5" w:themeTint="9A" w:themeShade="95"/>
        <w:sz w:val="22"/>
      </w:rPr>
      <w:tblPr/>
      <w:tcPr>
        <w:tcBorders>
          <w:top w:val="none" w:sz="0" w:space="0" w:color="auto"/>
          <w:left w:val="single" w:sz="4" w:space="0" w:color="A3B6DB" w:themeColor="accent5" w:themeTint="9A"/>
          <w:bottom w:val="none" w:sz="0" w:space="0" w:color="auto"/>
          <w:right w:val="none" w:sz="0" w:space="0" w:color="auto"/>
        </w:tcBorders>
        <w:shd w:val="clear" w:color="FFFFFF" w:fill="auto"/>
      </w:tcPr>
    </w:tblStylePr>
    <w:tblStylePr w:type="band1Vert">
      <w:tblPr/>
      <w:tcPr>
        <w:shd w:val="clear" w:color="D8E0F0" w:themeColor="accent5" w:themeTint="40" w:fill="D8E0F0" w:themeFill="accent5" w:themeFillTint="40"/>
      </w:tcPr>
    </w:tblStylePr>
    <w:tblStylePr w:type="band1Horz">
      <w:rPr>
        <w:rFonts w:ascii="Arial" w:hAnsi="Arial"/>
        <w:color w:val="A3B6DB" w:themeColor="accent5" w:themeTint="9A" w:themeShade="95"/>
        <w:sz w:val="22"/>
      </w:rPr>
      <w:tblPr/>
      <w:tcPr>
        <w:shd w:val="clear" w:color="D8E0F0" w:themeColor="accent5" w:themeTint="40" w:fill="D8E0F0" w:themeFill="accent5" w:themeFillTint="40"/>
      </w:tcPr>
    </w:tblStylePr>
    <w:tblStylePr w:type="band2Horz">
      <w:rPr>
        <w:rFonts w:ascii="Arial" w:hAnsi="Arial"/>
        <w:color w:val="A3B6DB"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C592C6" w:themeColor="accent6" w:themeTint="98"/>
      </w:tblBorders>
    </w:tblPr>
    <w:tblStylePr w:type="firstRow">
      <w:rPr>
        <w:rFonts w:ascii="Arial" w:hAnsi="Arial"/>
        <w:i/>
        <w:color w:val="C592C6" w:themeColor="accent6" w:themeTint="98" w:themeShade="95"/>
        <w:sz w:val="22"/>
      </w:rPr>
      <w:tblPr/>
      <w:tcPr>
        <w:tcBorders>
          <w:top w:val="none" w:sz="0" w:space="0" w:color="auto"/>
          <w:left w:val="none" w:sz="0" w:space="0" w:color="auto"/>
          <w:bottom w:val="single" w:sz="4" w:space="0" w:color="C592C6" w:themeColor="accent6" w:themeTint="98"/>
          <w:right w:val="none" w:sz="0" w:space="0" w:color="auto"/>
        </w:tcBorders>
        <w:shd w:val="clear" w:color="FFFFFF" w:themeColor="light1" w:fill="FFFFFF" w:themeFill="light1"/>
      </w:tcPr>
    </w:tblStylePr>
    <w:tblStylePr w:type="lastRow">
      <w:rPr>
        <w:rFonts w:ascii="Arial" w:hAnsi="Arial"/>
        <w:i/>
        <w:color w:val="C592C6" w:themeColor="accent6" w:themeTint="98" w:themeShade="95"/>
        <w:sz w:val="22"/>
      </w:rPr>
      <w:tblPr/>
      <w:tcPr>
        <w:tcBorders>
          <w:top w:val="single" w:sz="4" w:space="0" w:color="C592C6"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592C6" w:themeColor="accent6" w:themeTint="98" w:themeShade="95"/>
        <w:sz w:val="22"/>
      </w:rPr>
      <w:tblPr/>
      <w:tcPr>
        <w:tcBorders>
          <w:top w:val="none" w:sz="0" w:space="0" w:color="auto"/>
          <w:left w:val="none" w:sz="0" w:space="0" w:color="auto"/>
          <w:bottom w:val="none" w:sz="0" w:space="0" w:color="auto"/>
          <w:right w:val="single" w:sz="4" w:space="0" w:color="C592C6" w:themeColor="accent6" w:themeTint="98"/>
        </w:tcBorders>
        <w:shd w:val="clear" w:color="FFFFFF" w:fill="auto"/>
      </w:tcPr>
    </w:tblStylePr>
    <w:tblStylePr w:type="lastCol">
      <w:rPr>
        <w:rFonts w:ascii="Arial" w:hAnsi="Arial"/>
        <w:i/>
        <w:color w:val="C592C6" w:themeColor="accent6" w:themeTint="98" w:themeShade="95"/>
        <w:sz w:val="22"/>
      </w:rPr>
      <w:tblPr/>
      <w:tcPr>
        <w:tcBorders>
          <w:top w:val="none" w:sz="0" w:space="0" w:color="auto"/>
          <w:left w:val="single" w:sz="4" w:space="0" w:color="C592C6" w:themeColor="accent6" w:themeTint="98"/>
          <w:bottom w:val="none" w:sz="0" w:space="0" w:color="auto"/>
          <w:right w:val="none" w:sz="0" w:space="0" w:color="auto"/>
        </w:tcBorders>
        <w:shd w:val="clear" w:color="FFFFFF" w:fill="auto"/>
      </w:tcPr>
    </w:tblStylePr>
    <w:tblStylePr w:type="band1Vert">
      <w:tblPr/>
      <w:tcPr>
        <w:shd w:val="clear" w:color="E6D1E7" w:themeColor="accent6" w:themeTint="40" w:fill="E6D1E7" w:themeFill="accent6" w:themeFillTint="40"/>
      </w:tcPr>
    </w:tblStylePr>
    <w:tblStylePr w:type="band1Horz">
      <w:rPr>
        <w:rFonts w:ascii="Arial" w:hAnsi="Arial"/>
        <w:color w:val="C592C6" w:themeColor="accent6" w:themeTint="98" w:themeShade="95"/>
        <w:sz w:val="22"/>
      </w:rPr>
      <w:tblPr/>
      <w:tcPr>
        <w:shd w:val="clear" w:color="E6D1E7" w:themeColor="accent6" w:themeTint="40" w:fill="E6D1E7" w:themeFill="accent6" w:themeFillTint="40"/>
      </w:tcPr>
    </w:tblStylePr>
    <w:tblStylePr w:type="band2Horz">
      <w:rPr>
        <w:rFonts w:ascii="Arial" w:hAnsi="Arial"/>
        <w:color w:val="C592C6" w:themeColor="accent6" w:themeTint="98" w:themeShade="95"/>
        <w:sz w:val="22"/>
      </w:rPr>
    </w:tblStylePr>
  </w:style>
  <w:style w:type="table" w:customStyle="1" w:styleId="Lined-Accent">
    <w:name w:val="Lined - Accent"/>
    <w:basedOn w:val="TableNormal"/>
    <w:uiPriority w:val="99"/>
    <w:pPr>
      <w:spacing w:after="0" w:line="240" w:lineRule="auto"/>
    </w:pPr>
    <w:rPr>
      <w:color w:val="404040"/>
      <w:sz w:val="20"/>
      <w:szCs w:val="20"/>
      <w:lang w:val="en-GB" w:eastAsia="en-GB"/>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lang w:val="en-GB" w:eastAsia="en-GB"/>
    </w:rPr>
    <w:tblPr>
      <w:tblStyleRowBandSize w:val="1"/>
      <w:tblStyleColBandSize w:val="1"/>
    </w:tblPr>
    <w:tblStylePr w:type="firstRow">
      <w:rPr>
        <w:rFonts w:ascii="Arial" w:hAnsi="Arial"/>
        <w:color w:val="F2F2F2"/>
        <w:sz w:val="22"/>
      </w:rPr>
      <w:tblPr/>
      <w:tcPr>
        <w:shd w:val="clear" w:color="0066AA" w:themeColor="accent1" w:themeTint="EA" w:fill="0066AA" w:themeFill="accent1" w:themeFillTint="EA"/>
      </w:tcPr>
    </w:tblStylePr>
    <w:tblStylePr w:type="lastRow">
      <w:rPr>
        <w:rFonts w:ascii="Arial" w:hAnsi="Arial"/>
        <w:color w:val="F2F2F2"/>
        <w:sz w:val="22"/>
      </w:rPr>
      <w:tblPr/>
      <w:tcPr>
        <w:shd w:val="clear" w:color="0066AA" w:themeColor="accent1" w:themeTint="EA" w:fill="0066AA" w:themeFill="accent1" w:themeFillTint="EA"/>
      </w:tcPr>
    </w:tblStylePr>
    <w:tblStylePr w:type="firstCol">
      <w:rPr>
        <w:rFonts w:ascii="Arial" w:hAnsi="Arial"/>
        <w:color w:val="F2F2F2"/>
        <w:sz w:val="22"/>
      </w:rPr>
      <w:tblPr/>
      <w:tcPr>
        <w:shd w:val="clear" w:color="0066AA" w:themeColor="accent1" w:themeTint="EA" w:fill="0066AA" w:themeFill="accent1" w:themeFillTint="EA"/>
      </w:tcPr>
    </w:tblStylePr>
    <w:tblStylePr w:type="lastCol">
      <w:rPr>
        <w:rFonts w:ascii="Arial" w:hAnsi="Arial"/>
        <w:color w:val="F2F2F2"/>
        <w:sz w:val="22"/>
      </w:rPr>
      <w:tblPr/>
      <w:tcPr>
        <w:shd w:val="clear" w:color="0066AA" w:themeColor="accent1" w:themeTint="EA" w:fill="0066A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8AD0FF" w:themeColor="accent1" w:themeTint="50" w:fill="8AD0F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8AD0FF" w:themeColor="accent1" w:themeTint="50" w:fill="8AD0FF"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lang w:val="en-GB" w:eastAsia="en-GB"/>
    </w:rPr>
    <w:tblPr>
      <w:tblStyleRowBandSize w:val="1"/>
      <w:tblStyleColBandSize w:val="1"/>
    </w:tblPr>
    <w:tblStylePr w:type="firstRow">
      <w:rPr>
        <w:rFonts w:ascii="Arial" w:hAnsi="Arial"/>
        <w:color w:val="F2F2F2"/>
        <w:sz w:val="22"/>
      </w:rPr>
      <w:tblPr/>
      <w:tcPr>
        <w:shd w:val="clear" w:color="57CCFF" w:themeColor="accent2" w:themeTint="97" w:fill="57CCFF" w:themeFill="accent2" w:themeFillTint="97"/>
      </w:tcPr>
    </w:tblStylePr>
    <w:tblStylePr w:type="lastRow">
      <w:rPr>
        <w:rFonts w:ascii="Arial" w:hAnsi="Arial"/>
        <w:color w:val="F2F2F2"/>
        <w:sz w:val="22"/>
      </w:rPr>
      <w:tblPr/>
      <w:tcPr>
        <w:shd w:val="clear" w:color="57CCFF" w:themeColor="accent2" w:themeTint="97" w:fill="57CCFF" w:themeFill="accent2" w:themeFillTint="97"/>
      </w:tcPr>
    </w:tblStylePr>
    <w:tblStylePr w:type="firstCol">
      <w:rPr>
        <w:rFonts w:ascii="Arial" w:hAnsi="Arial"/>
        <w:color w:val="F2F2F2"/>
        <w:sz w:val="22"/>
      </w:rPr>
      <w:tblPr/>
      <w:tcPr>
        <w:shd w:val="clear" w:color="57CCFF" w:themeColor="accent2" w:themeTint="97" w:fill="57CCFF" w:themeFill="accent2" w:themeFillTint="97"/>
      </w:tcPr>
    </w:tblStylePr>
    <w:tblStylePr w:type="lastCol">
      <w:rPr>
        <w:rFonts w:ascii="Arial" w:hAnsi="Arial"/>
        <w:color w:val="F2F2F2"/>
        <w:sz w:val="22"/>
      </w:rPr>
      <w:tblPr/>
      <w:tcPr>
        <w:shd w:val="clear" w:color="57CCFF" w:themeColor="accent2" w:themeTint="97" w:fill="57CCFF"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C7EEFF" w:themeColor="accent2" w:themeTint="32" w:fill="C7EEFF"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C7EEFF" w:themeColor="accent2" w:themeTint="32" w:fill="C7EEFF"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lang w:val="en-GB" w:eastAsia="en-GB"/>
    </w:rPr>
    <w:tblPr>
      <w:tblStyleRowBandSize w:val="1"/>
      <w:tblStyleColBandSize w:val="1"/>
    </w:tblPr>
    <w:tblStylePr w:type="firstRow">
      <w:rPr>
        <w:rFonts w:ascii="Arial" w:hAnsi="Arial"/>
        <w:color w:val="F2F2F2"/>
        <w:sz w:val="22"/>
      </w:rPr>
      <w:tblPr/>
      <w:tcPr>
        <w:shd w:val="clear" w:color="00B1A9" w:themeColor="accent3" w:themeTint="FE" w:fill="00B1A9" w:themeFill="accent3" w:themeFillTint="FE"/>
      </w:tcPr>
    </w:tblStylePr>
    <w:tblStylePr w:type="lastRow">
      <w:rPr>
        <w:rFonts w:ascii="Arial" w:hAnsi="Arial"/>
        <w:color w:val="F2F2F2"/>
        <w:sz w:val="22"/>
      </w:rPr>
      <w:tblPr/>
      <w:tcPr>
        <w:shd w:val="clear" w:color="00B1A9" w:themeColor="accent3" w:themeTint="FE" w:fill="00B1A9" w:themeFill="accent3" w:themeFillTint="FE"/>
      </w:tcPr>
    </w:tblStylePr>
    <w:tblStylePr w:type="firstCol">
      <w:rPr>
        <w:rFonts w:ascii="Arial" w:hAnsi="Arial"/>
        <w:color w:val="F2F2F2"/>
        <w:sz w:val="22"/>
      </w:rPr>
      <w:tblPr/>
      <w:tcPr>
        <w:shd w:val="clear" w:color="00B1A9" w:themeColor="accent3" w:themeTint="FE" w:fill="00B1A9" w:themeFill="accent3" w:themeFillTint="FE"/>
      </w:tcPr>
    </w:tblStylePr>
    <w:tblStylePr w:type="lastCol">
      <w:rPr>
        <w:rFonts w:ascii="Arial" w:hAnsi="Arial"/>
        <w:color w:val="F2F2F2"/>
        <w:sz w:val="22"/>
      </w:rPr>
      <w:tblPr/>
      <w:tcPr>
        <w:shd w:val="clear" w:color="00B1A9" w:themeColor="accent3" w:themeTint="FE" w:fill="00B1A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BAFFFC" w:themeColor="accent3" w:themeTint="34" w:fill="BAFFF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BAFFFC" w:themeColor="accent3" w:themeTint="34" w:fill="BAFFFC"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lang w:val="en-GB" w:eastAsia="en-GB"/>
    </w:rPr>
    <w:tblPr>
      <w:tblStyleRowBandSize w:val="1"/>
      <w:tblStyleColBandSize w:val="1"/>
    </w:tblPr>
    <w:tblStylePr w:type="firstRow">
      <w:rPr>
        <w:rFonts w:ascii="Arial" w:hAnsi="Arial"/>
        <w:color w:val="F2F2F2"/>
        <w:sz w:val="22"/>
      </w:rPr>
      <w:tblPr/>
      <w:tcPr>
        <w:shd w:val="clear" w:color="48EDFF" w:themeColor="accent4" w:themeTint="9A" w:fill="48EDFF" w:themeFill="accent4" w:themeFillTint="9A"/>
      </w:tcPr>
    </w:tblStylePr>
    <w:tblStylePr w:type="lastRow">
      <w:rPr>
        <w:rFonts w:ascii="Arial" w:hAnsi="Arial"/>
        <w:color w:val="F2F2F2"/>
        <w:sz w:val="22"/>
      </w:rPr>
      <w:tblPr/>
      <w:tcPr>
        <w:shd w:val="clear" w:color="48EDFF" w:themeColor="accent4" w:themeTint="9A" w:fill="48EDFF" w:themeFill="accent4" w:themeFillTint="9A"/>
      </w:tcPr>
    </w:tblStylePr>
    <w:tblStylePr w:type="firstCol">
      <w:rPr>
        <w:rFonts w:ascii="Arial" w:hAnsi="Arial"/>
        <w:color w:val="F2F2F2"/>
        <w:sz w:val="22"/>
      </w:rPr>
      <w:tblPr/>
      <w:tcPr>
        <w:shd w:val="clear" w:color="48EDFF" w:themeColor="accent4" w:themeTint="9A" w:fill="48EDFF" w:themeFill="accent4" w:themeFillTint="9A"/>
      </w:tcPr>
    </w:tblStylePr>
    <w:tblStylePr w:type="lastCol">
      <w:rPr>
        <w:rFonts w:ascii="Arial" w:hAnsi="Arial"/>
        <w:color w:val="F2F2F2"/>
        <w:sz w:val="22"/>
      </w:rPr>
      <w:tblPr/>
      <w:tcPr>
        <w:shd w:val="clear" w:color="48EDFF" w:themeColor="accent4" w:themeTint="9A" w:fill="48EDFF"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1F8FF" w:themeColor="accent4" w:themeTint="34" w:fill="C1F8FF"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1F8FF" w:themeColor="accent4" w:themeTint="34" w:fill="C1F8FF"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lang w:val="en-GB" w:eastAsia="en-GB"/>
    </w:rPr>
    <w:tblPr>
      <w:tblStyleRowBandSize w:val="1"/>
      <w:tblStyleColBandSize w:val="1"/>
    </w:tblPr>
    <w:tblStylePr w:type="firstRow">
      <w:rPr>
        <w:rFonts w:ascii="Arial" w:hAnsi="Arial"/>
        <w:color w:val="F2F2F2"/>
        <w:sz w:val="22"/>
      </w:rPr>
      <w:tblPr/>
      <w:tcPr>
        <w:shd w:val="clear" w:color="6787C4" w:themeColor="accent5" w:fill="6787C4" w:themeFill="accent5"/>
      </w:tcPr>
    </w:tblStylePr>
    <w:tblStylePr w:type="lastRow">
      <w:rPr>
        <w:rFonts w:ascii="Arial" w:hAnsi="Arial"/>
        <w:color w:val="F2F2F2"/>
        <w:sz w:val="22"/>
      </w:rPr>
      <w:tblPr/>
      <w:tcPr>
        <w:shd w:val="clear" w:color="6787C4" w:themeColor="accent5" w:fill="6787C4" w:themeFill="accent5"/>
      </w:tcPr>
    </w:tblStylePr>
    <w:tblStylePr w:type="firstCol">
      <w:rPr>
        <w:rFonts w:ascii="Arial" w:hAnsi="Arial"/>
        <w:color w:val="F2F2F2"/>
        <w:sz w:val="22"/>
      </w:rPr>
      <w:tblPr/>
      <w:tcPr>
        <w:shd w:val="clear" w:color="6787C4" w:themeColor="accent5" w:fill="6787C4" w:themeFill="accent5"/>
      </w:tcPr>
    </w:tblStylePr>
    <w:tblStylePr w:type="lastCol">
      <w:rPr>
        <w:rFonts w:ascii="Arial" w:hAnsi="Arial"/>
        <w:color w:val="F2F2F2"/>
        <w:sz w:val="22"/>
      </w:rPr>
      <w:tblPr/>
      <w:tcPr>
        <w:shd w:val="clear" w:color="6787C4" w:themeColor="accent5" w:fill="6787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FE6F3" w:themeColor="accent5" w:themeTint="34" w:fill="DFE6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FE6F3" w:themeColor="accent5" w:themeTint="34" w:fill="DFE6F3"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lang w:val="en-GB" w:eastAsia="en-GB"/>
    </w:rPr>
    <w:tblPr>
      <w:tblStyleRowBandSize w:val="1"/>
      <w:tblStyleColBandSize w:val="1"/>
    </w:tblPr>
    <w:tblStylePr w:type="firstRow">
      <w:rPr>
        <w:rFonts w:ascii="Arial" w:hAnsi="Arial"/>
        <w:color w:val="F2F2F2"/>
        <w:sz w:val="22"/>
      </w:rPr>
      <w:tblPr/>
      <w:tcPr>
        <w:shd w:val="clear" w:color="99509A" w:themeColor="accent6" w:fill="99509A" w:themeFill="accent6"/>
      </w:tcPr>
    </w:tblStylePr>
    <w:tblStylePr w:type="lastRow">
      <w:rPr>
        <w:rFonts w:ascii="Arial" w:hAnsi="Arial"/>
        <w:color w:val="F2F2F2"/>
        <w:sz w:val="22"/>
      </w:rPr>
      <w:tblPr/>
      <w:tcPr>
        <w:shd w:val="clear" w:color="99509A" w:themeColor="accent6" w:fill="99509A" w:themeFill="accent6"/>
      </w:tcPr>
    </w:tblStylePr>
    <w:tblStylePr w:type="firstCol">
      <w:rPr>
        <w:rFonts w:ascii="Arial" w:hAnsi="Arial"/>
        <w:color w:val="F2F2F2"/>
        <w:sz w:val="22"/>
      </w:rPr>
      <w:tblPr/>
      <w:tcPr>
        <w:shd w:val="clear" w:color="99509A" w:themeColor="accent6" w:fill="99509A" w:themeFill="accent6"/>
      </w:tcPr>
    </w:tblStylePr>
    <w:tblStylePr w:type="lastCol">
      <w:rPr>
        <w:rFonts w:ascii="Arial" w:hAnsi="Arial"/>
        <w:color w:val="F2F2F2"/>
        <w:sz w:val="22"/>
      </w:rPr>
      <w:tblPr/>
      <w:tcPr>
        <w:shd w:val="clear" w:color="99509A" w:themeColor="accent6" w:fill="99509A"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BD9EB" w:themeColor="accent6" w:themeTint="34" w:fill="EBD9EB"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BD9EB" w:themeColor="accent6" w:themeTint="34" w:fill="EBD9EB"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003151" w:themeColor="accent1" w:themeShade="95"/>
        <w:left w:val="single" w:sz="4" w:space="0" w:color="003151" w:themeColor="accent1" w:themeShade="95"/>
        <w:bottom w:val="single" w:sz="4" w:space="0" w:color="003151" w:themeColor="accent1" w:themeShade="95"/>
        <w:right w:val="single" w:sz="4" w:space="0" w:color="003151" w:themeColor="accent1" w:themeShade="95"/>
        <w:insideH w:val="single" w:sz="4" w:space="0" w:color="003151" w:themeColor="accent1" w:themeShade="95"/>
        <w:insideV w:val="single" w:sz="4" w:space="0" w:color="003151" w:themeColor="accent1" w:themeShade="95"/>
      </w:tblBorders>
    </w:tblPr>
    <w:tblStylePr w:type="firstRow">
      <w:rPr>
        <w:rFonts w:ascii="Arial" w:hAnsi="Arial"/>
        <w:color w:val="F2F2F2"/>
        <w:sz w:val="22"/>
      </w:rPr>
      <w:tblPr/>
      <w:tcPr>
        <w:shd w:val="clear" w:color="0066AA" w:themeColor="accent1" w:themeTint="EA" w:fill="0066AA" w:themeFill="accent1" w:themeFillTint="EA"/>
      </w:tcPr>
    </w:tblStylePr>
    <w:tblStylePr w:type="lastRow">
      <w:rPr>
        <w:rFonts w:ascii="Arial" w:hAnsi="Arial"/>
        <w:color w:val="F2F2F2"/>
        <w:sz w:val="22"/>
      </w:rPr>
      <w:tblPr/>
      <w:tcPr>
        <w:shd w:val="clear" w:color="0066AA" w:themeColor="accent1" w:themeTint="EA" w:fill="0066AA" w:themeFill="accent1" w:themeFillTint="EA"/>
      </w:tcPr>
    </w:tblStylePr>
    <w:tblStylePr w:type="firstCol">
      <w:rPr>
        <w:rFonts w:ascii="Arial" w:hAnsi="Arial"/>
        <w:color w:val="F2F2F2"/>
        <w:sz w:val="22"/>
      </w:rPr>
      <w:tblPr/>
      <w:tcPr>
        <w:shd w:val="clear" w:color="0066AA" w:themeColor="accent1" w:themeTint="EA" w:fill="0066AA" w:themeFill="accent1" w:themeFillTint="EA"/>
      </w:tcPr>
    </w:tblStylePr>
    <w:tblStylePr w:type="lastCol">
      <w:rPr>
        <w:rFonts w:ascii="Arial" w:hAnsi="Arial"/>
        <w:color w:val="F2F2F2"/>
        <w:sz w:val="22"/>
      </w:rPr>
      <w:tblPr/>
      <w:tcPr>
        <w:shd w:val="clear" w:color="0066AA" w:themeColor="accent1" w:themeTint="EA" w:fill="0066A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8AD0FF" w:themeColor="accent1" w:themeTint="50" w:fill="8AD0F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8AD0FF" w:themeColor="accent1" w:themeTint="50" w:fill="8AD0FF"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005C84" w:themeColor="accent2" w:themeShade="95"/>
        <w:left w:val="single" w:sz="4" w:space="0" w:color="005C84" w:themeColor="accent2" w:themeShade="95"/>
        <w:bottom w:val="single" w:sz="4" w:space="0" w:color="005C84" w:themeColor="accent2" w:themeShade="95"/>
        <w:right w:val="single" w:sz="4" w:space="0" w:color="005C84" w:themeColor="accent2" w:themeShade="95"/>
        <w:insideH w:val="single" w:sz="4" w:space="0" w:color="005C84" w:themeColor="accent2" w:themeShade="95"/>
        <w:insideV w:val="single" w:sz="4" w:space="0" w:color="005C84" w:themeColor="accent2" w:themeShade="95"/>
      </w:tblBorders>
    </w:tblPr>
    <w:tblStylePr w:type="firstRow">
      <w:rPr>
        <w:rFonts w:ascii="Arial" w:hAnsi="Arial"/>
        <w:color w:val="F2F2F2"/>
        <w:sz w:val="22"/>
      </w:rPr>
      <w:tblPr/>
      <w:tcPr>
        <w:shd w:val="clear" w:color="57CCFF" w:themeColor="accent2" w:themeTint="97" w:fill="57CCFF" w:themeFill="accent2" w:themeFillTint="97"/>
      </w:tcPr>
    </w:tblStylePr>
    <w:tblStylePr w:type="lastRow">
      <w:rPr>
        <w:rFonts w:ascii="Arial" w:hAnsi="Arial"/>
        <w:color w:val="F2F2F2"/>
        <w:sz w:val="22"/>
      </w:rPr>
      <w:tblPr/>
      <w:tcPr>
        <w:shd w:val="clear" w:color="57CCFF" w:themeColor="accent2" w:themeTint="97" w:fill="57CCFF" w:themeFill="accent2" w:themeFillTint="97"/>
      </w:tcPr>
    </w:tblStylePr>
    <w:tblStylePr w:type="firstCol">
      <w:rPr>
        <w:rFonts w:ascii="Arial" w:hAnsi="Arial"/>
        <w:color w:val="F2F2F2"/>
        <w:sz w:val="22"/>
      </w:rPr>
      <w:tblPr/>
      <w:tcPr>
        <w:shd w:val="clear" w:color="57CCFF" w:themeColor="accent2" w:themeTint="97" w:fill="57CCFF" w:themeFill="accent2" w:themeFillTint="97"/>
      </w:tcPr>
    </w:tblStylePr>
    <w:tblStylePr w:type="lastCol">
      <w:rPr>
        <w:rFonts w:ascii="Arial" w:hAnsi="Arial"/>
        <w:color w:val="F2F2F2"/>
        <w:sz w:val="22"/>
      </w:rPr>
      <w:tblPr/>
      <w:tcPr>
        <w:shd w:val="clear" w:color="57CCFF" w:themeColor="accent2" w:themeTint="97" w:fill="57CCFF"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C7EEFF" w:themeColor="accent2" w:themeTint="32" w:fill="C7EEFF"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C7EEFF" w:themeColor="accent2" w:themeTint="32" w:fill="C7EEFF"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006662" w:themeColor="accent3" w:themeShade="95"/>
        <w:left w:val="single" w:sz="4" w:space="0" w:color="006662" w:themeColor="accent3" w:themeShade="95"/>
        <w:bottom w:val="single" w:sz="4" w:space="0" w:color="006662" w:themeColor="accent3" w:themeShade="95"/>
        <w:right w:val="single" w:sz="4" w:space="0" w:color="006662" w:themeColor="accent3" w:themeShade="95"/>
        <w:insideH w:val="single" w:sz="4" w:space="0" w:color="006662" w:themeColor="accent3" w:themeShade="95"/>
        <w:insideV w:val="single" w:sz="4" w:space="0" w:color="006662" w:themeColor="accent3" w:themeShade="95"/>
      </w:tblBorders>
    </w:tblPr>
    <w:tblStylePr w:type="firstRow">
      <w:rPr>
        <w:rFonts w:ascii="Arial" w:hAnsi="Arial"/>
        <w:color w:val="F2F2F2"/>
        <w:sz w:val="22"/>
      </w:rPr>
      <w:tblPr/>
      <w:tcPr>
        <w:shd w:val="clear" w:color="00B1A9" w:themeColor="accent3" w:themeTint="FE" w:fill="00B1A9" w:themeFill="accent3" w:themeFillTint="FE"/>
      </w:tcPr>
    </w:tblStylePr>
    <w:tblStylePr w:type="lastRow">
      <w:rPr>
        <w:rFonts w:ascii="Arial" w:hAnsi="Arial"/>
        <w:color w:val="F2F2F2"/>
        <w:sz w:val="22"/>
      </w:rPr>
      <w:tblPr/>
      <w:tcPr>
        <w:shd w:val="clear" w:color="00B1A9" w:themeColor="accent3" w:themeTint="FE" w:fill="00B1A9" w:themeFill="accent3" w:themeFillTint="FE"/>
      </w:tcPr>
    </w:tblStylePr>
    <w:tblStylePr w:type="firstCol">
      <w:rPr>
        <w:rFonts w:ascii="Arial" w:hAnsi="Arial"/>
        <w:color w:val="F2F2F2"/>
        <w:sz w:val="22"/>
      </w:rPr>
      <w:tblPr/>
      <w:tcPr>
        <w:shd w:val="clear" w:color="00B1A9" w:themeColor="accent3" w:themeTint="FE" w:fill="00B1A9" w:themeFill="accent3" w:themeFillTint="FE"/>
      </w:tcPr>
    </w:tblStylePr>
    <w:tblStylePr w:type="lastCol">
      <w:rPr>
        <w:rFonts w:ascii="Arial" w:hAnsi="Arial"/>
        <w:color w:val="F2F2F2"/>
        <w:sz w:val="22"/>
      </w:rPr>
      <w:tblPr/>
      <w:tcPr>
        <w:shd w:val="clear" w:color="00B1A9" w:themeColor="accent3" w:themeTint="FE" w:fill="00B1A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BAFFFC" w:themeColor="accent3" w:themeTint="34" w:fill="BAFFF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BAFFFC" w:themeColor="accent3" w:themeTint="34" w:fill="BAFFFC"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006D79" w:themeColor="accent4" w:themeShade="95"/>
        <w:left w:val="single" w:sz="4" w:space="0" w:color="006D79" w:themeColor="accent4" w:themeShade="95"/>
        <w:bottom w:val="single" w:sz="4" w:space="0" w:color="006D79" w:themeColor="accent4" w:themeShade="95"/>
        <w:right w:val="single" w:sz="4" w:space="0" w:color="006D79" w:themeColor="accent4" w:themeShade="95"/>
        <w:insideH w:val="single" w:sz="4" w:space="0" w:color="006D79" w:themeColor="accent4" w:themeShade="95"/>
        <w:insideV w:val="single" w:sz="4" w:space="0" w:color="006D79" w:themeColor="accent4" w:themeShade="95"/>
      </w:tblBorders>
    </w:tblPr>
    <w:tblStylePr w:type="firstRow">
      <w:rPr>
        <w:rFonts w:ascii="Arial" w:hAnsi="Arial"/>
        <w:color w:val="F2F2F2"/>
        <w:sz w:val="22"/>
      </w:rPr>
      <w:tblPr/>
      <w:tcPr>
        <w:shd w:val="clear" w:color="48EDFF" w:themeColor="accent4" w:themeTint="9A" w:fill="48EDFF" w:themeFill="accent4" w:themeFillTint="9A"/>
      </w:tcPr>
    </w:tblStylePr>
    <w:tblStylePr w:type="lastRow">
      <w:rPr>
        <w:rFonts w:ascii="Arial" w:hAnsi="Arial"/>
        <w:color w:val="F2F2F2"/>
        <w:sz w:val="22"/>
      </w:rPr>
      <w:tblPr/>
      <w:tcPr>
        <w:shd w:val="clear" w:color="48EDFF" w:themeColor="accent4" w:themeTint="9A" w:fill="48EDFF" w:themeFill="accent4" w:themeFillTint="9A"/>
      </w:tcPr>
    </w:tblStylePr>
    <w:tblStylePr w:type="firstCol">
      <w:rPr>
        <w:rFonts w:ascii="Arial" w:hAnsi="Arial"/>
        <w:color w:val="F2F2F2"/>
        <w:sz w:val="22"/>
      </w:rPr>
      <w:tblPr/>
      <w:tcPr>
        <w:shd w:val="clear" w:color="48EDFF" w:themeColor="accent4" w:themeTint="9A" w:fill="48EDFF" w:themeFill="accent4" w:themeFillTint="9A"/>
      </w:tcPr>
    </w:tblStylePr>
    <w:tblStylePr w:type="lastCol">
      <w:rPr>
        <w:rFonts w:ascii="Arial" w:hAnsi="Arial"/>
        <w:color w:val="F2F2F2"/>
        <w:sz w:val="22"/>
      </w:rPr>
      <w:tblPr/>
      <w:tcPr>
        <w:shd w:val="clear" w:color="48EDFF" w:themeColor="accent4" w:themeTint="9A" w:fill="48EDFF"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1F8FF" w:themeColor="accent4" w:themeTint="34" w:fill="C1F8FF"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1F8FF" w:themeColor="accent4" w:themeTint="34" w:fill="C1F8FF"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314B7D" w:themeColor="accent5" w:themeShade="95"/>
        <w:left w:val="single" w:sz="4" w:space="0" w:color="314B7D" w:themeColor="accent5" w:themeShade="95"/>
        <w:bottom w:val="single" w:sz="4" w:space="0" w:color="314B7D" w:themeColor="accent5" w:themeShade="95"/>
        <w:right w:val="single" w:sz="4" w:space="0" w:color="314B7D" w:themeColor="accent5" w:themeShade="95"/>
        <w:insideH w:val="single" w:sz="4" w:space="0" w:color="314B7D" w:themeColor="accent5" w:themeShade="95"/>
        <w:insideV w:val="single" w:sz="4" w:space="0" w:color="314B7D" w:themeColor="accent5" w:themeShade="95"/>
      </w:tblBorders>
    </w:tblPr>
    <w:tblStylePr w:type="firstRow">
      <w:rPr>
        <w:rFonts w:ascii="Arial" w:hAnsi="Arial"/>
        <w:color w:val="F2F2F2"/>
        <w:sz w:val="22"/>
      </w:rPr>
      <w:tblPr/>
      <w:tcPr>
        <w:shd w:val="clear" w:color="6787C4" w:themeColor="accent5" w:fill="6787C4" w:themeFill="accent5"/>
      </w:tcPr>
    </w:tblStylePr>
    <w:tblStylePr w:type="lastRow">
      <w:rPr>
        <w:rFonts w:ascii="Arial" w:hAnsi="Arial"/>
        <w:color w:val="F2F2F2"/>
        <w:sz w:val="22"/>
      </w:rPr>
      <w:tblPr/>
      <w:tcPr>
        <w:shd w:val="clear" w:color="6787C4" w:themeColor="accent5" w:fill="6787C4" w:themeFill="accent5"/>
      </w:tcPr>
    </w:tblStylePr>
    <w:tblStylePr w:type="firstCol">
      <w:rPr>
        <w:rFonts w:ascii="Arial" w:hAnsi="Arial"/>
        <w:color w:val="F2F2F2"/>
        <w:sz w:val="22"/>
      </w:rPr>
      <w:tblPr/>
      <w:tcPr>
        <w:shd w:val="clear" w:color="6787C4" w:themeColor="accent5" w:fill="6787C4" w:themeFill="accent5"/>
      </w:tcPr>
    </w:tblStylePr>
    <w:tblStylePr w:type="lastCol">
      <w:rPr>
        <w:rFonts w:ascii="Arial" w:hAnsi="Arial"/>
        <w:color w:val="F2F2F2"/>
        <w:sz w:val="22"/>
      </w:rPr>
      <w:tblPr/>
      <w:tcPr>
        <w:shd w:val="clear" w:color="6787C4" w:themeColor="accent5" w:fill="6787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FE6F3" w:themeColor="accent5" w:themeTint="34" w:fill="DFE6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FE6F3" w:themeColor="accent5" w:themeTint="34" w:fill="DFE6F3"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592E59" w:themeColor="accent6" w:themeShade="95"/>
        <w:left w:val="single" w:sz="4" w:space="0" w:color="592E59" w:themeColor="accent6" w:themeShade="95"/>
        <w:bottom w:val="single" w:sz="4" w:space="0" w:color="592E59" w:themeColor="accent6" w:themeShade="95"/>
        <w:right w:val="single" w:sz="4" w:space="0" w:color="592E59" w:themeColor="accent6" w:themeShade="95"/>
        <w:insideH w:val="single" w:sz="4" w:space="0" w:color="592E59" w:themeColor="accent6" w:themeShade="95"/>
        <w:insideV w:val="single" w:sz="4" w:space="0" w:color="592E59" w:themeColor="accent6" w:themeShade="95"/>
      </w:tblBorders>
    </w:tblPr>
    <w:tblStylePr w:type="firstRow">
      <w:rPr>
        <w:rFonts w:ascii="Arial" w:hAnsi="Arial"/>
        <w:color w:val="F2F2F2"/>
        <w:sz w:val="22"/>
      </w:rPr>
      <w:tblPr/>
      <w:tcPr>
        <w:shd w:val="clear" w:color="99509A" w:themeColor="accent6" w:fill="99509A" w:themeFill="accent6"/>
      </w:tcPr>
    </w:tblStylePr>
    <w:tblStylePr w:type="lastRow">
      <w:rPr>
        <w:rFonts w:ascii="Arial" w:hAnsi="Arial"/>
        <w:color w:val="F2F2F2"/>
        <w:sz w:val="22"/>
      </w:rPr>
      <w:tblPr/>
      <w:tcPr>
        <w:shd w:val="clear" w:color="99509A" w:themeColor="accent6" w:fill="99509A" w:themeFill="accent6"/>
      </w:tcPr>
    </w:tblStylePr>
    <w:tblStylePr w:type="firstCol">
      <w:rPr>
        <w:rFonts w:ascii="Arial" w:hAnsi="Arial"/>
        <w:color w:val="F2F2F2"/>
        <w:sz w:val="22"/>
      </w:rPr>
      <w:tblPr/>
      <w:tcPr>
        <w:shd w:val="clear" w:color="99509A" w:themeColor="accent6" w:fill="99509A" w:themeFill="accent6"/>
      </w:tcPr>
    </w:tblStylePr>
    <w:tblStylePr w:type="lastCol">
      <w:rPr>
        <w:rFonts w:ascii="Arial" w:hAnsi="Arial"/>
        <w:color w:val="F2F2F2"/>
        <w:sz w:val="22"/>
      </w:rPr>
      <w:tblPr/>
      <w:tcPr>
        <w:shd w:val="clear" w:color="99509A" w:themeColor="accent6" w:fill="99509A"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BD9EB" w:themeColor="accent6" w:themeTint="34" w:fill="EBD9EB"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BD9EB" w:themeColor="accent6" w:themeTint="34" w:fill="EBD9EB"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69C3FF" w:themeColor="accent1" w:themeTint="67"/>
        <w:left w:val="single" w:sz="4" w:space="0" w:color="69C3FF" w:themeColor="accent1" w:themeTint="67"/>
        <w:bottom w:val="single" w:sz="4" w:space="0" w:color="69C3FF" w:themeColor="accent1" w:themeTint="67"/>
        <w:right w:val="single" w:sz="4" w:space="0" w:color="69C3FF" w:themeColor="accent1" w:themeTint="67"/>
        <w:insideH w:val="single" w:sz="4" w:space="0" w:color="69C3FF" w:themeColor="accent1" w:themeTint="67"/>
        <w:insideV w:val="single" w:sz="4" w:space="0" w:color="69C3FF" w:themeColor="accent1" w:themeTint="67"/>
      </w:tblBorders>
    </w:tblPr>
    <w:tblStylePr w:type="firstRow">
      <w:rPr>
        <w:rFonts w:ascii="Arial" w:hAnsi="Arial"/>
        <w:color w:val="404040"/>
        <w:sz w:val="22"/>
      </w:rPr>
      <w:tblPr/>
      <w:tcPr>
        <w:tcBorders>
          <w:bottom w:val="single" w:sz="12" w:space="0" w:color="00558C" w:themeColor="accent1"/>
        </w:tcBorders>
      </w:tcPr>
    </w:tblStylePr>
    <w:tblStylePr w:type="lastRow">
      <w:rPr>
        <w:rFonts w:ascii="Arial" w:hAnsi="Arial"/>
        <w:color w:val="404040"/>
        <w:sz w:val="22"/>
      </w:rPr>
      <w:tblPr/>
      <w:tcPr>
        <w:tcBorders>
          <w:top w:val="single" w:sz="12" w:space="0" w:color="00558C"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558C" w:themeColor="accent1"/>
        </w:tcBorders>
      </w:tcPr>
    </w:tblStylePr>
    <w:tblStylePr w:type="band1Horz">
      <w:rPr>
        <w:rFonts w:ascii="Arial" w:hAnsi="Arial"/>
        <w:color w:val="404040"/>
        <w:sz w:val="22"/>
      </w:rPr>
      <w:tblPr/>
      <w:tcPr>
        <w:tcBorders>
          <w:top w:val="single" w:sz="4" w:space="0" w:color="69C3FF" w:themeColor="accent1" w:themeTint="67"/>
          <w:left w:val="single" w:sz="4" w:space="0" w:color="69C3FF" w:themeColor="accent1" w:themeTint="67"/>
          <w:bottom w:val="single" w:sz="4" w:space="0" w:color="69C3FF" w:themeColor="accent1" w:themeTint="67"/>
          <w:right w:val="single" w:sz="4" w:space="0" w:color="69C3FF"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8CDCFF" w:themeColor="accent2" w:themeTint="67"/>
        <w:left w:val="single" w:sz="4" w:space="0" w:color="8CDCFF" w:themeColor="accent2" w:themeTint="67"/>
        <w:bottom w:val="single" w:sz="4" w:space="0" w:color="8CDCFF" w:themeColor="accent2" w:themeTint="67"/>
        <w:right w:val="single" w:sz="4" w:space="0" w:color="8CDCFF" w:themeColor="accent2" w:themeTint="67"/>
        <w:insideH w:val="single" w:sz="4" w:space="0" w:color="8CDCFF" w:themeColor="accent2" w:themeTint="67"/>
        <w:insideV w:val="single" w:sz="4" w:space="0" w:color="8CDCFF" w:themeColor="accent2" w:themeTint="67"/>
      </w:tblBorders>
    </w:tblPr>
    <w:tblStylePr w:type="firstRow">
      <w:rPr>
        <w:rFonts w:ascii="Arial" w:hAnsi="Arial"/>
        <w:color w:val="404040"/>
        <w:sz w:val="22"/>
      </w:rPr>
      <w:tblPr/>
      <w:tcPr>
        <w:tcBorders>
          <w:bottom w:val="single" w:sz="12" w:space="0" w:color="57CCFF" w:themeColor="accent2" w:themeTint="97"/>
        </w:tcBorders>
      </w:tcPr>
    </w:tblStylePr>
    <w:tblStylePr w:type="lastRow">
      <w:rPr>
        <w:rFonts w:ascii="Arial" w:hAnsi="Arial"/>
        <w:color w:val="404040"/>
        <w:sz w:val="22"/>
      </w:rPr>
      <w:tblPr/>
      <w:tcPr>
        <w:tcBorders>
          <w:top w:val="single" w:sz="12" w:space="0" w:color="57CCFF"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7CCFF" w:themeColor="accent2" w:themeTint="97"/>
        </w:tcBorders>
      </w:tcPr>
    </w:tblStylePr>
    <w:tblStylePr w:type="band1Horz">
      <w:rPr>
        <w:rFonts w:ascii="Arial" w:hAnsi="Arial"/>
        <w:color w:val="404040"/>
        <w:sz w:val="22"/>
      </w:rPr>
      <w:tblPr/>
      <w:tcPr>
        <w:tcBorders>
          <w:top w:val="single" w:sz="4" w:space="0" w:color="8CDCFF" w:themeColor="accent2" w:themeTint="67"/>
          <w:left w:val="single" w:sz="4" w:space="0" w:color="8CDCFF" w:themeColor="accent2" w:themeTint="67"/>
          <w:bottom w:val="single" w:sz="4" w:space="0" w:color="8CDCFF" w:themeColor="accent2" w:themeTint="67"/>
          <w:right w:val="single" w:sz="4" w:space="0" w:color="8CDCFF"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78FFF9" w:themeColor="accent3" w:themeTint="67"/>
        <w:left w:val="single" w:sz="4" w:space="0" w:color="78FFF9" w:themeColor="accent3" w:themeTint="67"/>
        <w:bottom w:val="single" w:sz="4" w:space="0" w:color="78FFF9" w:themeColor="accent3" w:themeTint="67"/>
        <w:right w:val="single" w:sz="4" w:space="0" w:color="78FFF9" w:themeColor="accent3" w:themeTint="67"/>
        <w:insideH w:val="single" w:sz="4" w:space="0" w:color="78FFF9" w:themeColor="accent3" w:themeTint="67"/>
        <w:insideV w:val="single" w:sz="4" w:space="0" w:color="78FFF9" w:themeColor="accent3" w:themeTint="67"/>
      </w:tblBorders>
    </w:tblPr>
    <w:tblStylePr w:type="firstRow">
      <w:rPr>
        <w:rFonts w:ascii="Arial" w:hAnsi="Arial"/>
        <w:color w:val="404040"/>
        <w:sz w:val="22"/>
      </w:rPr>
      <w:tblPr/>
      <w:tcPr>
        <w:tcBorders>
          <w:bottom w:val="single" w:sz="12" w:space="0" w:color="37FFF6" w:themeColor="accent3" w:themeTint="98"/>
        </w:tcBorders>
      </w:tcPr>
    </w:tblStylePr>
    <w:tblStylePr w:type="lastRow">
      <w:rPr>
        <w:rFonts w:ascii="Arial" w:hAnsi="Arial"/>
        <w:color w:val="404040"/>
        <w:sz w:val="22"/>
      </w:rPr>
      <w:tblPr/>
      <w:tcPr>
        <w:tcBorders>
          <w:top w:val="single" w:sz="12" w:space="0" w:color="37FFF6"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37FFF6" w:themeColor="accent3" w:themeTint="98"/>
        </w:tcBorders>
      </w:tcPr>
    </w:tblStylePr>
    <w:tblStylePr w:type="band1Horz">
      <w:rPr>
        <w:rFonts w:ascii="Arial" w:hAnsi="Arial"/>
        <w:color w:val="404040"/>
        <w:sz w:val="22"/>
      </w:rPr>
      <w:tblPr/>
      <w:tcPr>
        <w:tcBorders>
          <w:top w:val="single" w:sz="4" w:space="0" w:color="78FFF9" w:themeColor="accent3" w:themeTint="67"/>
          <w:left w:val="single" w:sz="4" w:space="0" w:color="78FFF9" w:themeColor="accent3" w:themeTint="67"/>
          <w:bottom w:val="single" w:sz="4" w:space="0" w:color="78FFF9" w:themeColor="accent3" w:themeTint="67"/>
          <w:right w:val="single" w:sz="4" w:space="0" w:color="78FFF9"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85F3FF" w:themeColor="accent4" w:themeTint="67"/>
        <w:left w:val="single" w:sz="4" w:space="0" w:color="85F3FF" w:themeColor="accent4" w:themeTint="67"/>
        <w:bottom w:val="single" w:sz="4" w:space="0" w:color="85F3FF" w:themeColor="accent4" w:themeTint="67"/>
        <w:right w:val="single" w:sz="4" w:space="0" w:color="85F3FF" w:themeColor="accent4" w:themeTint="67"/>
        <w:insideH w:val="single" w:sz="4" w:space="0" w:color="85F3FF" w:themeColor="accent4" w:themeTint="67"/>
        <w:insideV w:val="single" w:sz="4" w:space="0" w:color="85F3FF" w:themeColor="accent4" w:themeTint="67"/>
      </w:tblBorders>
    </w:tblPr>
    <w:tblStylePr w:type="firstRow">
      <w:rPr>
        <w:rFonts w:ascii="Arial" w:hAnsi="Arial"/>
        <w:color w:val="404040"/>
        <w:sz w:val="22"/>
      </w:rPr>
      <w:tblPr/>
      <w:tcPr>
        <w:tcBorders>
          <w:bottom w:val="single" w:sz="12" w:space="0" w:color="48EDFF" w:themeColor="accent4" w:themeTint="9A"/>
        </w:tcBorders>
      </w:tcPr>
    </w:tblStylePr>
    <w:tblStylePr w:type="lastRow">
      <w:rPr>
        <w:rFonts w:ascii="Arial" w:hAnsi="Arial"/>
        <w:color w:val="404040"/>
        <w:sz w:val="22"/>
      </w:rPr>
      <w:tblPr/>
      <w:tcPr>
        <w:tcBorders>
          <w:top w:val="single" w:sz="12" w:space="0" w:color="48EDFF"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EDFF" w:themeColor="accent4" w:themeTint="9A"/>
        </w:tcBorders>
      </w:tcPr>
    </w:tblStylePr>
    <w:tblStylePr w:type="band1Horz">
      <w:rPr>
        <w:rFonts w:ascii="Arial" w:hAnsi="Arial"/>
        <w:color w:val="404040"/>
        <w:sz w:val="22"/>
      </w:rPr>
      <w:tblPr/>
      <w:tcPr>
        <w:tcBorders>
          <w:top w:val="single" w:sz="4" w:space="0" w:color="85F3FF" w:themeColor="accent4" w:themeTint="67"/>
          <w:left w:val="single" w:sz="4" w:space="0" w:color="85F3FF" w:themeColor="accent4" w:themeTint="67"/>
          <w:bottom w:val="single" w:sz="4" w:space="0" w:color="85F3FF" w:themeColor="accent4" w:themeTint="67"/>
          <w:right w:val="single" w:sz="4" w:space="0" w:color="85F3FF"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C1CEE7" w:themeColor="accent5" w:themeTint="67"/>
        <w:left w:val="single" w:sz="4" w:space="0" w:color="C1CEE7" w:themeColor="accent5" w:themeTint="67"/>
        <w:bottom w:val="single" w:sz="4" w:space="0" w:color="C1CEE7" w:themeColor="accent5" w:themeTint="67"/>
        <w:right w:val="single" w:sz="4" w:space="0" w:color="C1CEE7" w:themeColor="accent5" w:themeTint="67"/>
        <w:insideH w:val="single" w:sz="4" w:space="0" w:color="C1CEE7" w:themeColor="accent5" w:themeTint="67"/>
        <w:insideV w:val="single" w:sz="4" w:space="0" w:color="C1CEE7" w:themeColor="accent5" w:themeTint="67"/>
      </w:tblBorders>
    </w:tblPr>
    <w:tblStylePr w:type="firstRow">
      <w:rPr>
        <w:rFonts w:ascii="Arial" w:hAnsi="Arial"/>
        <w:color w:val="404040"/>
        <w:sz w:val="22"/>
      </w:rPr>
      <w:tblPr/>
      <w:tcPr>
        <w:tcBorders>
          <w:bottom w:val="single" w:sz="12" w:space="0" w:color="A3B6DB" w:themeColor="accent5" w:themeTint="9A"/>
        </w:tcBorders>
      </w:tcPr>
    </w:tblStylePr>
    <w:tblStylePr w:type="lastRow">
      <w:rPr>
        <w:rFonts w:ascii="Arial" w:hAnsi="Arial"/>
        <w:color w:val="404040"/>
        <w:sz w:val="22"/>
      </w:rPr>
      <w:tblPr/>
      <w:tcPr>
        <w:tcBorders>
          <w:top w:val="single" w:sz="12" w:space="0" w:color="A3B6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3B6DB" w:themeColor="accent5" w:themeTint="9A"/>
        </w:tcBorders>
      </w:tcPr>
    </w:tblStylePr>
    <w:tblStylePr w:type="band1Horz">
      <w:rPr>
        <w:rFonts w:ascii="Arial" w:hAnsi="Arial"/>
        <w:color w:val="404040"/>
        <w:sz w:val="22"/>
      </w:rPr>
      <w:tblPr/>
      <w:tcPr>
        <w:tcBorders>
          <w:top w:val="single" w:sz="4" w:space="0" w:color="C1CEE7" w:themeColor="accent5" w:themeTint="67"/>
          <w:left w:val="single" w:sz="4" w:space="0" w:color="C1CEE7" w:themeColor="accent5" w:themeTint="67"/>
          <w:bottom w:val="single" w:sz="4" w:space="0" w:color="C1CEE7" w:themeColor="accent5" w:themeTint="67"/>
          <w:right w:val="single" w:sz="4" w:space="0" w:color="C1CEE7"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D8B5D8" w:themeColor="accent6" w:themeTint="67"/>
        <w:left w:val="single" w:sz="4" w:space="0" w:color="D8B5D8" w:themeColor="accent6" w:themeTint="67"/>
        <w:bottom w:val="single" w:sz="4" w:space="0" w:color="D8B5D8" w:themeColor="accent6" w:themeTint="67"/>
        <w:right w:val="single" w:sz="4" w:space="0" w:color="D8B5D8" w:themeColor="accent6" w:themeTint="67"/>
        <w:insideH w:val="single" w:sz="4" w:space="0" w:color="D8B5D8" w:themeColor="accent6" w:themeTint="67"/>
        <w:insideV w:val="single" w:sz="4" w:space="0" w:color="D8B5D8" w:themeColor="accent6" w:themeTint="67"/>
      </w:tblBorders>
    </w:tblPr>
    <w:tblStylePr w:type="firstRow">
      <w:rPr>
        <w:rFonts w:ascii="Arial" w:hAnsi="Arial"/>
        <w:color w:val="404040"/>
        <w:sz w:val="22"/>
      </w:rPr>
      <w:tblPr/>
      <w:tcPr>
        <w:tcBorders>
          <w:bottom w:val="single" w:sz="12" w:space="0" w:color="C592C6" w:themeColor="accent6" w:themeTint="98"/>
        </w:tcBorders>
      </w:tcPr>
    </w:tblStylePr>
    <w:tblStylePr w:type="lastRow">
      <w:rPr>
        <w:rFonts w:ascii="Arial" w:hAnsi="Arial"/>
        <w:color w:val="404040"/>
        <w:sz w:val="22"/>
      </w:rPr>
      <w:tblPr/>
      <w:tcPr>
        <w:tcBorders>
          <w:top w:val="single" w:sz="12" w:space="0" w:color="C592C6"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592C6" w:themeColor="accent6" w:themeTint="98"/>
        </w:tcBorders>
      </w:tcPr>
    </w:tblStylePr>
    <w:tblStylePr w:type="band1Horz">
      <w:rPr>
        <w:rFonts w:ascii="Arial" w:hAnsi="Arial"/>
        <w:color w:val="404040"/>
        <w:sz w:val="22"/>
      </w:rPr>
      <w:tblPr/>
      <w:tcPr>
        <w:tcBorders>
          <w:top w:val="single" w:sz="4" w:space="0" w:color="D8B5D8" w:themeColor="accent6" w:themeTint="67"/>
          <w:left w:val="single" w:sz="4" w:space="0" w:color="D8B5D8" w:themeColor="accent6" w:themeTint="67"/>
          <w:bottom w:val="single" w:sz="4" w:space="0" w:color="D8B5D8" w:themeColor="accent6" w:themeTint="67"/>
          <w:right w:val="single" w:sz="4" w:space="0" w:color="D8B5D8" w:themeColor="accent6" w:themeTint="67"/>
        </w:tcBorders>
      </w:tcPr>
    </w:tblStyle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character" w:styleId="IntenseEmphasis">
    <w:name w:val="Intense Emphasis"/>
    <w:basedOn w:val="DefaultParagraphFont"/>
    <w:uiPriority w:val="21"/>
    <w:qFormat/>
    <w:rPr>
      <w:i/>
      <w:iCs/>
      <w:color w:val="003F68" w:themeColor="accent1" w:themeShade="BF"/>
    </w:rPr>
  </w:style>
  <w:style w:type="paragraph" w:styleId="IntenseQuote">
    <w:name w:val="Intense Quote"/>
    <w:basedOn w:val="Normal"/>
    <w:next w:val="Normal"/>
    <w:link w:val="IntenseQuoteChar"/>
    <w:uiPriority w:val="30"/>
    <w:qFormat/>
    <w:pPr>
      <w:pBdr>
        <w:top w:val="single" w:sz="4" w:space="10" w:color="003F68" w:themeColor="accent1" w:themeShade="BF"/>
        <w:bottom w:val="single" w:sz="4" w:space="10" w:color="003F68" w:themeColor="accent1" w:themeShade="BF"/>
      </w:pBdr>
      <w:spacing w:before="360" w:after="360"/>
      <w:ind w:left="864" w:right="864"/>
      <w:jc w:val="center"/>
    </w:pPr>
    <w:rPr>
      <w:i/>
      <w:iCs/>
      <w:color w:val="003F68" w:themeColor="accent1" w:themeShade="BF"/>
    </w:rPr>
  </w:style>
  <w:style w:type="character" w:customStyle="1" w:styleId="IntenseQuoteChar">
    <w:name w:val="Intense Quote Char"/>
    <w:basedOn w:val="DefaultParagraphFont"/>
    <w:link w:val="IntenseQuote"/>
    <w:uiPriority w:val="30"/>
    <w:rPr>
      <w:i/>
      <w:iCs/>
      <w:color w:val="003F68" w:themeColor="accent1" w:themeShade="BF"/>
    </w:rPr>
  </w:style>
  <w:style w:type="character" w:styleId="IntenseReference">
    <w:name w:val="Intense Reference"/>
    <w:basedOn w:val="DefaultParagraphFont"/>
    <w:uiPriority w:val="32"/>
    <w:qFormat/>
    <w:rPr>
      <w:b/>
      <w:bCs/>
      <w:smallCaps/>
      <w:color w:val="003F68" w:themeColor="accent1" w:themeShade="BF"/>
      <w:spacing w:val="5"/>
    </w:rPr>
  </w:style>
  <w:style w:type="character" w:styleId="SubtleEmphasis">
    <w:name w:val="Subtle Emphasis"/>
    <w:basedOn w:val="DefaultParagraphFont"/>
    <w:uiPriority w:val="19"/>
    <w:qFormat/>
    <w:rPr>
      <w:i/>
      <w:iCs/>
      <w:color w:val="404040" w:themeColor="text1" w:themeTint="BF"/>
    </w:rPr>
  </w:style>
  <w:style w:type="character" w:styleId="Strong">
    <w:name w:val="Strong"/>
    <w:basedOn w:val="DefaultParagraphFont"/>
    <w:uiPriority w:val="22"/>
    <w:qFormat/>
    <w:rPr>
      <w:b/>
      <w:bCs/>
    </w:rPr>
  </w:style>
  <w:style w:type="character" w:styleId="SubtleReference">
    <w:name w:val="Subtle Reference"/>
    <w:basedOn w:val="DefaultParagraphFont"/>
    <w:uiPriority w:val="31"/>
    <w:qFormat/>
    <w:rPr>
      <w:smallCaps/>
      <w:color w:val="5A5A5A" w:themeColor="text1" w:themeTint="A5"/>
    </w:rPr>
  </w:style>
  <w:style w:type="character" w:styleId="BookTitle">
    <w:name w:val="Book Title"/>
    <w:basedOn w:val="DefaultParagraphFont"/>
    <w:uiPriority w:val="33"/>
    <w:qFormat/>
    <w:rPr>
      <w:b/>
      <w:bCs/>
      <w:i/>
      <w:iCs/>
      <w:spacing w:val="5"/>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paragraph" w:styleId="Header">
    <w:name w:val="header"/>
    <w:link w:val="HeaderChar"/>
    <w:pPr>
      <w:spacing w:after="0" w:line="240" w:lineRule="exact"/>
    </w:pPr>
    <w:rPr>
      <w:sz w:val="20"/>
      <w:lang w:val="en-GB"/>
    </w:rPr>
  </w:style>
  <w:style w:type="character" w:customStyle="1" w:styleId="HeaderChar">
    <w:name w:val="Header Char"/>
    <w:basedOn w:val="DefaultParagraphFont"/>
    <w:link w:val="Header"/>
    <w:rPr>
      <w:sz w:val="20"/>
      <w:lang w:val="en-GB"/>
    </w:rPr>
  </w:style>
  <w:style w:type="paragraph" w:styleId="Footer">
    <w:name w:val="footer"/>
    <w:link w:val="FooterChar"/>
    <w:pPr>
      <w:spacing w:after="0" w:line="240" w:lineRule="exact"/>
    </w:pPr>
    <w:rPr>
      <w:sz w:val="20"/>
      <w:lang w:val="en-GB"/>
    </w:rPr>
  </w:style>
  <w:style w:type="character" w:customStyle="1" w:styleId="FooterChar">
    <w:name w:val="Footer Char"/>
    <w:basedOn w:val="DefaultParagraphFont"/>
    <w:link w:val="Footer"/>
    <w:rPr>
      <w:sz w:val="20"/>
      <w:lang w:val="en-GB"/>
    </w:rPr>
  </w:style>
  <w:style w:type="paragraph" w:styleId="BalloonText">
    <w:name w:val="Balloon Text"/>
    <w:basedOn w:val="Normal"/>
    <w:link w:val="BalloonTextChar"/>
    <w:pPr>
      <w:spacing w:line="240" w:lineRule="auto"/>
    </w:pP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lang w:val="en-GB"/>
    </w:rPr>
  </w:style>
  <w:style w:type="table" w:styleId="TableGrid">
    <w:name w:val="Table Grid"/>
    <w:basedOn w:val="Table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vAlign w:val="center"/>
    </w:tcPr>
  </w:style>
  <w:style w:type="paragraph" w:customStyle="1" w:styleId="Documenttype">
    <w:name w:val="Document type"/>
    <w:basedOn w:val="Normal"/>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pPr>
      <w:ind w:left="360" w:hanging="360"/>
      <w:contextualSpacing/>
    </w:pPr>
  </w:style>
  <w:style w:type="character" w:customStyle="1" w:styleId="Heading4Char">
    <w:name w:val="Heading 4 Char"/>
    <w:basedOn w:val="DefaultParagraphFont"/>
    <w:link w:val="Heading4"/>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Pr>
      <w:rFonts w:asciiTheme="majorHAnsi" w:eastAsiaTheme="majorEastAsia" w:hAnsiTheme="majorHAnsi" w:cstheme="majorBidi"/>
      <w:i/>
      <w:iCs/>
      <w:color w:val="002A45" w:themeColor="accent1" w:themeShade="7F"/>
      <w:lang w:val="en-GB"/>
    </w:rPr>
  </w:style>
  <w:style w:type="character" w:customStyle="1" w:styleId="Heading7Char">
    <w:name w:val="Heading 7 Char"/>
    <w:basedOn w:val="DefaultParagraphFont"/>
    <w:link w:val="Heading7"/>
    <w:rPr>
      <w:rFonts w:asciiTheme="majorHAnsi" w:eastAsiaTheme="majorEastAsia" w:hAnsiTheme="majorHAnsi" w:cstheme="majorBidi"/>
      <w:i/>
      <w:iCs/>
      <w:color w:val="404040" w:themeColor="text1" w:themeTint="BF"/>
      <w:lang w:val="en-GB"/>
    </w:rPr>
  </w:style>
  <w:style w:type="character" w:customStyle="1" w:styleId="Heading8Char">
    <w:name w:val="Heading 8 Char"/>
    <w:basedOn w:val="DefaultParagraphFont"/>
    <w:link w:val="Heading8"/>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pPr>
      <w:numPr>
        <w:numId w:val="6"/>
      </w:numPr>
    </w:pPr>
    <w:rPr>
      <w:color w:val="000000" w:themeColor="text1"/>
    </w:rPr>
  </w:style>
  <w:style w:type="paragraph" w:customStyle="1" w:styleId="Bullet2">
    <w:name w:val="Bullet 2"/>
    <w:basedOn w:val="Normal"/>
    <w:link w:val="Bullet2Char"/>
    <w:qFormat/>
    <w:pPr>
      <w:numPr>
        <w:numId w:val="7"/>
      </w:numPr>
    </w:pPr>
    <w:rPr>
      <w:color w:val="000000" w:themeColor="text1"/>
    </w:rPr>
  </w:style>
  <w:style w:type="paragraph" w:customStyle="1" w:styleId="Heading1separationline">
    <w:name w:val="Heading 1 separation line"/>
    <w:basedOn w:val="Normal"/>
    <w:next w:val="BodyText"/>
    <w:pPr>
      <w:pBdr>
        <w:bottom w:val="single" w:sz="8" w:space="1" w:color="00558C" w:themeColor="accent1"/>
      </w:pBdr>
      <w:spacing w:line="90" w:lineRule="exact"/>
      <w:ind w:right="8789"/>
    </w:pPr>
    <w:rPr>
      <w:color w:val="000000" w:themeColor="text1"/>
    </w:rPr>
  </w:style>
  <w:style w:type="paragraph" w:customStyle="1" w:styleId="Heading2separationline">
    <w:name w:val="Heading 2 separation line"/>
    <w:basedOn w:val="Normal"/>
    <w:next w:val="BodyText"/>
    <w:pPr>
      <w:pBdr>
        <w:bottom w:val="single" w:sz="4" w:space="1" w:color="575756"/>
      </w:pBdr>
      <w:spacing w:after="60" w:line="110" w:lineRule="exact"/>
      <w:ind w:right="8787"/>
    </w:pPr>
    <w:rPr>
      <w:color w:val="000000" w:themeColor="text1"/>
    </w:rPr>
  </w:style>
  <w:style w:type="paragraph" w:customStyle="1" w:styleId="PageNumber1">
    <w:name w:val="Page Number1"/>
    <w:basedOn w:val="Normal"/>
    <w:pPr>
      <w:spacing w:line="180" w:lineRule="exact"/>
      <w:jc w:val="right"/>
    </w:pPr>
    <w:rPr>
      <w:color w:val="00558C" w:themeColor="accent1"/>
    </w:rPr>
  </w:style>
  <w:style w:type="paragraph" w:customStyle="1" w:styleId="Editionnumber">
    <w:name w:val="Edition number"/>
    <w:basedOn w:val="Normal"/>
    <w:rPr>
      <w:b/>
      <w:color w:val="00558C" w:themeColor="accent1"/>
      <w:sz w:val="50"/>
      <w:szCs w:val="50"/>
    </w:rPr>
  </w:style>
  <w:style w:type="paragraph" w:customStyle="1" w:styleId="Editionnumber-footer">
    <w:name w:val="Edition number - footer"/>
    <w:basedOn w:val="Footer"/>
    <w:next w:val="NoSpacing"/>
    <w:pPr>
      <w:framePr w:hSpace="142" w:wrap="around" w:hAnchor="margin" w:xAlign="center" w:yAlign="bottom"/>
      <w:spacing w:before="40" w:line="180" w:lineRule="exact"/>
    </w:pPr>
    <w:rPr>
      <w:b/>
      <w:color w:val="00558C" w:themeColor="accent1"/>
      <w:sz w:val="15"/>
      <w:szCs w:val="15"/>
    </w:rPr>
  </w:style>
  <w:style w:type="paragraph" w:customStyle="1" w:styleId="Contents">
    <w:name w:val="Contents"/>
    <w:basedOn w:val="Header"/>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pPr>
      <w:tabs>
        <w:tab w:val="right" w:leader="dot" w:pos="9781"/>
      </w:tabs>
      <w:spacing w:after="40" w:line="300" w:lineRule="atLeast"/>
      <w:ind w:left="425" w:right="425" w:hanging="425"/>
    </w:pPr>
    <w:rPr>
      <w:b/>
      <w:caps/>
      <w:color w:val="00558C" w:themeColor="accent1"/>
    </w:rPr>
  </w:style>
  <w:style w:type="paragraph" w:styleId="TOC2">
    <w:name w:val="toc 2"/>
    <w:basedOn w:val="Normal"/>
    <w:next w:val="Normal"/>
    <w:uiPriority w:val="39"/>
    <w:pPr>
      <w:tabs>
        <w:tab w:val="right" w:leader="dot" w:pos="9781"/>
      </w:tabs>
      <w:spacing w:after="40" w:line="300" w:lineRule="atLeast"/>
      <w:ind w:left="709" w:right="425" w:hanging="709"/>
    </w:pPr>
    <w:rPr>
      <w:color w:val="00558C" w:themeColor="accent1"/>
    </w:rPr>
  </w:style>
  <w:style w:type="character" w:styleId="Hyperlink">
    <w:name w:val="Hyperlink"/>
    <w:basedOn w:val="DefaultParagraphFont"/>
    <w:uiPriority w:val="99"/>
    <w:unhideWhenUsed/>
    <w:qFormat/>
    <w:rPr>
      <w:color w:val="00558C" w:themeColor="accent1"/>
      <w:u w:val="single"/>
    </w:rPr>
  </w:style>
  <w:style w:type="paragraph" w:styleId="ListNumber3">
    <w:name w:val="List Number 3"/>
    <w:basedOn w:val="Normal"/>
    <w:uiPriority w:val="99"/>
    <w:unhideWhenUsed/>
    <w:pPr>
      <w:contextualSpacing/>
    </w:pPr>
  </w:style>
  <w:style w:type="paragraph" w:styleId="TableofFigures">
    <w:name w:val="table of figures"/>
    <w:basedOn w:val="Normal"/>
    <w:next w:val="Normal"/>
    <w:uiPriority w:val="99"/>
    <w:pPr>
      <w:tabs>
        <w:tab w:val="right" w:leader="dot" w:pos="9781"/>
      </w:tabs>
      <w:spacing w:after="60"/>
      <w:ind w:left="1276" w:right="425" w:hanging="1276"/>
    </w:pPr>
    <w:rPr>
      <w:i/>
      <w:color w:val="00558C"/>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rPr>
      <w:b/>
      <w:color w:val="00558C"/>
    </w:rPr>
  </w:style>
  <w:style w:type="table" w:styleId="MediumShading1">
    <w:name w:val="Medium Shading 1"/>
    <w:basedOn w:val="TableNormal"/>
    <w:uiPriority w:val="6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tcBorders>
        <w:shd w:val="clear" w:color="auto" w:fill="009FE3" w:themeFill="accent2"/>
      </w:tcPr>
    </w:tblStylePr>
    <w:tblStylePr w:type="lastRow">
      <w:pPr>
        <w:spacing w:before="0" w:after="0" w:line="240" w:lineRule="auto"/>
      </w:pPr>
      <w:rPr>
        <w:b/>
        <w:bCs/>
      </w:rPr>
      <w:tblPr/>
      <w:tcPr>
        <w:tcBorders>
          <w:top w:val="sing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tcBorders>
      </w:tcPr>
    </w:tblStylePr>
    <w:tblStylePr w:type="band2Horz">
      <w:tblPr/>
      <w:tcPr>
        <w:tcBorders>
          <w:top w:val="single" w:sz="8" w:space="0" w:color="575756"/>
          <w:left w:val="single" w:sz="8" w:space="0" w:color="575756"/>
          <w:bottom w:val="single" w:sz="8" w:space="0" w:color="575756"/>
          <w:right w:val="single" w:sz="8" w:space="0" w:color="575756"/>
        </w:tcBorders>
        <w:shd w:val="clear" w:color="auto" w:fill="C6EDFF" w:themeFill="accent2" w:themeFillTint="33"/>
      </w:tcPr>
    </w:tblStylePr>
  </w:style>
  <w:style w:type="paragraph" w:styleId="Caption">
    <w:name w:val="caption"/>
    <w:basedOn w:val="Normal"/>
    <w:next w:val="Normal"/>
    <w:uiPriority w:val="35"/>
    <w:rPr>
      <w:b/>
      <w:bCs/>
      <w:i/>
      <w:color w:val="575756"/>
      <w:u w:val="single"/>
    </w:rPr>
  </w:style>
  <w:style w:type="paragraph" w:styleId="TOC3">
    <w:name w:val="toc 3"/>
    <w:basedOn w:val="Normal"/>
    <w:next w:val="Normal"/>
    <w:uiPriority w:val="39"/>
    <w:unhideWhenUsed/>
    <w:pPr>
      <w:tabs>
        <w:tab w:val="right" w:leader="dot" w:pos="9781"/>
      </w:tabs>
      <w:spacing w:after="60"/>
      <w:ind w:left="1134" w:hanging="709"/>
    </w:pPr>
    <w:rPr>
      <w:color w:val="00558C"/>
    </w:rPr>
  </w:style>
  <w:style w:type="paragraph" w:customStyle="1" w:styleId="Listatext">
    <w:name w:val="List a text"/>
    <w:basedOn w:val="Normal"/>
    <w:qFormat/>
    <w:pPr>
      <w:ind w:left="1134"/>
    </w:pPr>
  </w:style>
  <w:style w:type="character" w:customStyle="1" w:styleId="Bullet2Char">
    <w:name w:val="Bullet 2 Char"/>
    <w:basedOn w:val="DefaultParagraphFont"/>
    <w:link w:val="Bullet2"/>
    <w:rPr>
      <w:color w:val="000000" w:themeColor="text1"/>
      <w:lang w:val="en-GB"/>
    </w:rPr>
  </w:style>
  <w:style w:type="paragraph" w:customStyle="1" w:styleId="AppendixHead2">
    <w:name w:val="Appendix Head 2"/>
    <w:basedOn w:val="Appendix"/>
    <w:next w:val="Heading2separationline"/>
    <w:qFormat/>
    <w:pPr>
      <w:numPr>
        <w:ilvl w:val="2"/>
      </w:numPr>
      <w:spacing w:after="120"/>
    </w:pPr>
    <w:rPr>
      <w:rFonts w:cs="Arial"/>
      <w:sz w:val="24"/>
      <w:lang w:eastAsia="en-GB"/>
    </w:rPr>
  </w:style>
  <w:style w:type="paragraph" w:customStyle="1" w:styleId="AppendixHead3">
    <w:name w:val="Appendix Head 3"/>
    <w:basedOn w:val="Normal"/>
    <w:next w:val="BodyText"/>
    <w:qFormat/>
    <w:pPr>
      <w:numPr>
        <w:ilvl w:val="3"/>
        <w:numId w:val="4"/>
      </w:numPr>
      <w:spacing w:before="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pPr>
      <w:numPr>
        <w:ilvl w:val="4"/>
      </w:numPr>
    </w:pPr>
    <w:rPr>
      <w:smallCaps w:val="0"/>
      <w:sz w:val="22"/>
    </w:rPr>
  </w:style>
  <w:style w:type="paragraph" w:customStyle="1" w:styleId="AppendixHead5">
    <w:name w:val="Appendix Head 5"/>
    <w:basedOn w:val="AppendixHead4"/>
    <w:next w:val="BodyText"/>
    <w:qFormat/>
    <w:pPr>
      <w:ind w:left="1701" w:hanging="1701"/>
    </w:pPr>
    <w:rPr>
      <w:b w:val="0"/>
    </w:rPr>
  </w:style>
  <w:style w:type="paragraph" w:customStyle="1" w:styleId="Annex">
    <w:name w:val="Annex"/>
    <w:next w:val="BodyText"/>
    <w:link w:val="AnnexChar"/>
    <w:qFormat/>
    <w:pPr>
      <w:numPr>
        <w:numId w:val="2"/>
      </w:numPr>
      <w:spacing w:after="360"/>
    </w:pPr>
    <w:rPr>
      <w:b/>
      <w:caps/>
      <w:color w:val="00558C"/>
      <w:sz w:val="28"/>
      <w:lang w:val="en-GB"/>
    </w:rPr>
  </w:style>
  <w:style w:type="character" w:customStyle="1" w:styleId="AnnexChar">
    <w:name w:val="Annex Char"/>
    <w:basedOn w:val="DefaultParagraphFont"/>
    <w:link w:val="Annex"/>
    <w:rPr>
      <w:b/>
      <w:caps/>
      <w:color w:val="00558C"/>
      <w:sz w:val="28"/>
      <w:lang w:val="en-GB"/>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paragraph" w:styleId="BodyText">
    <w:name w:val="Body Text"/>
    <w:basedOn w:val="Normal"/>
    <w:link w:val="BodyTextChar"/>
    <w:unhideWhenUsed/>
    <w:qFormat/>
    <w:pPr>
      <w:jc w:val="both"/>
    </w:pPr>
  </w:style>
  <w:style w:type="character" w:customStyle="1" w:styleId="BodyTextChar">
    <w:name w:val="Body Text Char"/>
    <w:basedOn w:val="DefaultParagraphFont"/>
    <w:link w:val="BodyText"/>
    <w:rPr>
      <w:lang w:val="en-GB"/>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2"/>
      </w:numPr>
      <w:spacing w:before="120" w:line="240" w:lineRule="auto"/>
    </w:pPr>
    <w:rPr>
      <w:rFonts w:eastAsia="Calibri" w:cs="Calibri"/>
      <w:color w:val="00558C"/>
      <w:lang w:eastAsia="en-GB"/>
    </w:rPr>
  </w:style>
  <w:style w:type="character" w:styleId="CommentReference">
    <w:name w:val="annotation reference"/>
    <w:basedOn w:val="DefaultParagraphFont"/>
    <w:unhideWhenUsed/>
    <w:rPr>
      <w:sz w:val="18"/>
      <w:szCs w:val="18"/>
      <w:lang w:val="en-GB"/>
    </w:rPr>
  </w:style>
  <w:style w:type="paragraph" w:styleId="CommentText">
    <w:name w:val="annotation text"/>
    <w:basedOn w:val="Normal"/>
    <w:link w:val="CommentTextChar"/>
    <w:unhideWhenUsed/>
    <w:pPr>
      <w:spacing w:line="240" w:lineRule="auto"/>
    </w:pPr>
    <w:rPr>
      <w:sz w:val="24"/>
      <w:szCs w:val="24"/>
    </w:rPr>
  </w:style>
  <w:style w:type="character" w:customStyle="1" w:styleId="CommentTextChar">
    <w:name w:val="Comment Text Char"/>
    <w:basedOn w:val="DefaultParagraphFont"/>
    <w:link w:val="CommentText"/>
    <w:rPr>
      <w:sz w:val="24"/>
      <w:szCs w:val="24"/>
      <w:lang w:val="en-GB"/>
    </w:rPr>
  </w:style>
  <w:style w:type="paragraph" w:styleId="CommentSubject">
    <w:name w:val="annotation subject"/>
    <w:basedOn w:val="CommentText"/>
    <w:next w:val="CommentText"/>
    <w:link w:val="CommentSubjectChar"/>
    <w:unhideWhenUsed/>
    <w:rPr>
      <w:b/>
      <w:bCs/>
      <w:sz w:val="20"/>
      <w:szCs w:val="20"/>
    </w:rPr>
  </w:style>
  <w:style w:type="character" w:customStyle="1" w:styleId="CommentSubjectChar">
    <w:name w:val="Comment Subject Char"/>
    <w:basedOn w:val="CommentTextChar"/>
    <w:link w:val="CommentSubject"/>
    <w:rPr>
      <w:b/>
      <w:bCs/>
      <w:sz w:val="20"/>
      <w:szCs w:val="20"/>
      <w:lang w:val="en-GB"/>
    </w:rPr>
  </w:style>
  <w:style w:type="paragraph" w:styleId="BodyTextIndent3">
    <w:name w:val="Body Text Indent 3"/>
    <w:basedOn w:val="Normal"/>
    <w:link w:val="BodyTextIndent3Char"/>
    <w:semiHidden/>
    <w:unhideWhenUsed/>
    <w:pPr>
      <w:ind w:left="360"/>
    </w:pPr>
    <w:rPr>
      <w:sz w:val="16"/>
      <w:szCs w:val="16"/>
    </w:rPr>
  </w:style>
  <w:style w:type="character" w:customStyle="1" w:styleId="BodyTextIndent3Char">
    <w:name w:val="Body Text Indent 3 Char"/>
    <w:basedOn w:val="DefaultParagraphFont"/>
    <w:link w:val="BodyTextIndent3"/>
    <w:semiHidden/>
    <w:rPr>
      <w:sz w:val="16"/>
      <w:szCs w:val="16"/>
      <w:lang w:val="en-GB"/>
    </w:rPr>
  </w:style>
  <w:style w:type="paragraph" w:customStyle="1" w:styleId="InsetList">
    <w:name w:val="Inset List"/>
    <w:basedOn w:val="Normal"/>
    <w:qFormat/>
    <w:pPr>
      <w:numPr>
        <w:numId w:val="13"/>
      </w:numPr>
      <w:jc w:val="both"/>
    </w:pPr>
  </w:style>
  <w:style w:type="paragraph" w:customStyle="1" w:styleId="ListofFigures">
    <w:name w:val="List of Figures"/>
    <w:basedOn w:val="Normal"/>
    <w:next w:val="Normal"/>
    <w:pPr>
      <w:spacing w:after="240" w:line="480" w:lineRule="atLeast"/>
    </w:pPr>
    <w:rPr>
      <w:b/>
      <w:color w:val="009FE3" w:themeColor="accent2"/>
      <w:sz w:val="40"/>
      <w:szCs w:val="40"/>
    </w:rPr>
  </w:style>
  <w:style w:type="paragraph" w:customStyle="1" w:styleId="Tablecaption0">
    <w:name w:val="Table caption"/>
    <w:basedOn w:val="Caption"/>
    <w:next w:val="BodyText"/>
    <w:qFormat/>
    <w:pPr>
      <w:tabs>
        <w:tab w:val="left" w:pos="851"/>
      </w:tabs>
      <w:spacing w:before="240" w:after="240"/>
      <w:jc w:val="center"/>
    </w:pPr>
    <w:rPr>
      <w:b w:val="0"/>
      <w:u w:val="none"/>
    </w:rPr>
  </w:style>
  <w:style w:type="paragraph" w:styleId="ListNumber">
    <w:name w:val="List Number"/>
    <w:basedOn w:val="Normal"/>
    <w:semiHidden/>
    <w:pPr>
      <w:numPr>
        <w:numId w:val="16"/>
      </w:numPr>
      <w:contextualSpacing/>
    </w:pPr>
  </w:style>
  <w:style w:type="paragraph" w:styleId="TOC4">
    <w:name w:val="toc 4"/>
    <w:basedOn w:val="Normal"/>
    <w:next w:val="Normal"/>
    <w:uiPriority w:val="39"/>
    <w:unhideWhenUsed/>
    <w:pPr>
      <w:tabs>
        <w:tab w:val="right" w:leader="dot" w:pos="9781"/>
        <w:tab w:val="right" w:leader="dot" w:pos="10195"/>
      </w:tabs>
      <w:ind w:left="1418" w:right="425" w:hanging="1418"/>
    </w:pPr>
    <w:rPr>
      <w:b/>
      <w:caps/>
      <w:color w:val="00558C"/>
    </w:rPr>
  </w:style>
  <w:style w:type="paragraph" w:styleId="FootnoteText">
    <w:name w:val="footnote text"/>
    <w:basedOn w:val="Normal"/>
    <w:link w:val="FootnoteTextChar"/>
    <w:uiPriority w:val="9"/>
    <w:unhideWhenUsed/>
    <w:qFormat/>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
    <w:rPr>
      <w:szCs w:val="24"/>
      <w:vertAlign w:val="superscript"/>
      <w:lang w:val="en-GB"/>
    </w:rPr>
  </w:style>
  <w:style w:type="character" w:styleId="FootnoteReference">
    <w:name w:val="footnote reference"/>
    <w:rPr>
      <w:rFonts w:asciiTheme="minorHAnsi" w:hAnsiTheme="minorHAnsi"/>
      <w:sz w:val="20"/>
      <w:vertAlign w:val="superscript"/>
    </w:rPr>
  </w:style>
  <w:style w:type="character" w:styleId="PageNumber">
    <w:name w:val="page number"/>
    <w:rPr>
      <w:rFonts w:asciiTheme="minorHAnsi" w:hAnsiTheme="minorHAnsi"/>
      <w:sz w:val="15"/>
    </w:rPr>
  </w:style>
  <w:style w:type="paragraph" w:customStyle="1" w:styleId="Footereditionno">
    <w:name w:val="Footer edition no."/>
    <w:basedOn w:val="Normal"/>
    <w:pPr>
      <w:tabs>
        <w:tab w:val="right" w:pos="10206"/>
      </w:tabs>
    </w:pPr>
    <w:rPr>
      <w:b/>
      <w:color w:val="00558C"/>
      <w:sz w:val="15"/>
    </w:rPr>
  </w:style>
  <w:style w:type="paragraph" w:customStyle="1" w:styleId="Lista">
    <w:name w:val="List a"/>
    <w:basedOn w:val="Normal"/>
    <w:qFormat/>
    <w:pPr>
      <w:numPr>
        <w:ilvl w:val="1"/>
        <w:numId w:val="15"/>
      </w:numPr>
      <w:spacing w:line="240" w:lineRule="auto"/>
      <w:jc w:val="both"/>
    </w:pPr>
    <w:rPr>
      <w:rFonts w:eastAsia="Times New Roman" w:cs="Times New Roman"/>
      <w:szCs w:val="20"/>
      <w:lang w:eastAsia="en-GB"/>
    </w:rPr>
  </w:style>
  <w:style w:type="numbering" w:styleId="ArticleSection">
    <w:name w:val="Outline List 3"/>
    <w:basedOn w:val="NoList"/>
    <w:pPr>
      <w:numPr>
        <w:numId w:val="5"/>
      </w:numPr>
    </w:pPr>
  </w:style>
  <w:style w:type="paragraph" w:styleId="TOC5">
    <w:name w:val="toc 5"/>
    <w:basedOn w:val="Normal"/>
    <w:next w:val="Normal"/>
    <w:uiPriority w:val="39"/>
    <w:pPr>
      <w:tabs>
        <w:tab w:val="right" w:leader="dot" w:pos="9781"/>
        <w:tab w:val="right" w:leader="dot" w:pos="10206"/>
      </w:tabs>
      <w:spacing w:before="60" w:after="60" w:line="240" w:lineRule="auto"/>
      <w:ind w:left="1418" w:right="425" w:hanging="1418"/>
    </w:pPr>
    <w:rPr>
      <w:rFonts w:eastAsia="Times New Roman" w:cs="Times New Roman"/>
      <w:b/>
      <w:caps/>
      <w:color w:val="00558C"/>
      <w:szCs w:val="20"/>
    </w:rPr>
  </w:style>
  <w:style w:type="paragraph" w:styleId="TOC6">
    <w:name w:val="toc 6"/>
    <w:basedOn w:val="Normal"/>
    <w:next w:val="Normal"/>
    <w:pPr>
      <w:spacing w:line="240" w:lineRule="auto"/>
      <w:ind w:left="960"/>
    </w:pPr>
    <w:rPr>
      <w:rFonts w:ascii="Arial" w:eastAsia="Times New Roman" w:hAnsi="Arial" w:cs="Times New Roman"/>
      <w:sz w:val="20"/>
      <w:szCs w:val="20"/>
    </w:rPr>
  </w:style>
  <w:style w:type="paragraph" w:styleId="TOC7">
    <w:name w:val="toc 7"/>
    <w:basedOn w:val="Normal"/>
    <w:next w:val="Normal"/>
    <w:pPr>
      <w:spacing w:line="240" w:lineRule="auto"/>
      <w:ind w:left="1200"/>
    </w:pPr>
    <w:rPr>
      <w:rFonts w:ascii="Arial" w:eastAsia="Times New Roman" w:hAnsi="Arial" w:cs="Times New Roman"/>
      <w:sz w:val="20"/>
      <w:szCs w:val="20"/>
    </w:rPr>
  </w:style>
  <w:style w:type="paragraph" w:styleId="TOC8">
    <w:name w:val="toc 8"/>
    <w:basedOn w:val="Normal"/>
    <w:next w:val="Normal"/>
    <w:pPr>
      <w:spacing w:line="240" w:lineRule="auto"/>
      <w:ind w:left="1440"/>
    </w:pPr>
    <w:rPr>
      <w:rFonts w:ascii="Arial" w:eastAsia="Times New Roman" w:hAnsi="Arial" w:cs="Times New Roman"/>
      <w:sz w:val="20"/>
      <w:szCs w:val="20"/>
    </w:rPr>
  </w:style>
  <w:style w:type="paragraph" w:styleId="TOC9">
    <w:name w:val="toc 9"/>
    <w:basedOn w:val="Normal"/>
    <w:next w:val="Normal"/>
    <w:pPr>
      <w:spacing w:line="240" w:lineRule="auto"/>
      <w:ind w:left="1680"/>
    </w:pPr>
    <w:rPr>
      <w:rFonts w:ascii="Arial" w:eastAsia="Times New Roman" w:hAnsi="Arial" w:cs="Times New Roman"/>
      <w:sz w:val="20"/>
      <w:szCs w:val="20"/>
    </w:rPr>
  </w:style>
  <w:style w:type="paragraph" w:customStyle="1" w:styleId="Listi">
    <w:name w:val="List i"/>
    <w:basedOn w:val="Listitext"/>
    <w:qFormat/>
    <w:pPr>
      <w:numPr>
        <w:ilvl w:val="2"/>
        <w:numId w:val="15"/>
      </w:numPr>
    </w:pPr>
  </w:style>
  <w:style w:type="paragraph" w:customStyle="1" w:styleId="Listitext">
    <w:name w:val="List i text"/>
    <w:basedOn w:val="Normal"/>
    <w:qFormat/>
    <w:pPr>
      <w:ind w:left="2268" w:hanging="567"/>
    </w:pPr>
    <w:rPr>
      <w:sz w:val="20"/>
    </w:rPr>
  </w:style>
  <w:style w:type="paragraph" w:customStyle="1" w:styleId="Bullet1text">
    <w:name w:val="Bullet 1 text"/>
    <w:basedOn w:val="Normal"/>
    <w:qFormat/>
    <w:pPr>
      <w:spacing w:line="240" w:lineRule="auto"/>
      <w:ind w:left="992"/>
      <w:jc w:val="both"/>
    </w:pPr>
    <w:rPr>
      <w:rFonts w:eastAsia="Times New Roman" w:cs="Times New Roman"/>
      <w:szCs w:val="20"/>
      <w:lang w:eastAsia="en-GB"/>
    </w:rPr>
  </w:style>
  <w:style w:type="paragraph" w:customStyle="1" w:styleId="Bullet2text">
    <w:name w:val="Bullet 2 text"/>
    <w:basedOn w:val="Normal"/>
    <w:qFormat/>
    <w:pPr>
      <w:spacing w:line="240" w:lineRule="auto"/>
      <w:ind w:left="1701" w:hanging="425"/>
      <w:jc w:val="both"/>
    </w:pPr>
    <w:rPr>
      <w:rFonts w:eastAsia="Times New Roman" w:cs="Times New Roman"/>
      <w:szCs w:val="20"/>
      <w:lang w:eastAsia="en-GB"/>
    </w:rPr>
  </w:style>
  <w:style w:type="paragraph" w:customStyle="1" w:styleId="Bullet3">
    <w:name w:val="Bullet 3"/>
    <w:basedOn w:val="Normal"/>
    <w:qFormat/>
    <w:pPr>
      <w:numPr>
        <w:numId w:val="8"/>
      </w:numPr>
      <w:spacing w:line="240" w:lineRule="auto"/>
    </w:pPr>
    <w:rPr>
      <w:rFonts w:eastAsia="Times New Roman" w:cs="Times New Roman"/>
      <w:sz w:val="20"/>
      <w:szCs w:val="20"/>
      <w:lang w:eastAsia="en-GB"/>
    </w:rPr>
  </w:style>
  <w:style w:type="paragraph" w:customStyle="1" w:styleId="Bullet3text">
    <w:name w:val="Bullet 3 text"/>
    <w:basedOn w:val="Normal"/>
    <w:qFormat/>
    <w:pPr>
      <w:spacing w:line="240" w:lineRule="auto"/>
      <w:ind w:left="1701"/>
    </w:pPr>
    <w:rPr>
      <w:rFonts w:eastAsia="Times New Roman" w:cs="Times New Roman"/>
      <w:sz w:val="20"/>
      <w:szCs w:val="20"/>
      <w:lang w:eastAsia="en-GB"/>
    </w:rPr>
  </w:style>
  <w:style w:type="paragraph" w:customStyle="1" w:styleId="List1">
    <w:name w:val="List 1"/>
    <w:basedOn w:val="Normal"/>
    <w:qFormat/>
    <w:pPr>
      <w:numPr>
        <w:numId w:val="14"/>
      </w:numPr>
      <w:spacing w:line="240" w:lineRule="auto"/>
      <w:jc w:val="both"/>
    </w:pPr>
    <w:rPr>
      <w:rFonts w:eastAsia="Times New Roman" w:cs="Times New Roman"/>
      <w:szCs w:val="20"/>
      <w:lang w:eastAsia="en-GB"/>
    </w:rPr>
  </w:style>
  <w:style w:type="paragraph" w:customStyle="1" w:styleId="List1text">
    <w:name w:val="List 1 text"/>
    <w:basedOn w:val="Normal"/>
    <w:qFormat/>
    <w:pPr>
      <w:spacing w:line="240" w:lineRule="auto"/>
      <w:ind w:left="567"/>
      <w:jc w:val="both"/>
    </w:pPr>
    <w:rPr>
      <w:rFonts w:eastAsia="Times New Roman" w:cs="Times New Roman"/>
      <w:szCs w:val="20"/>
      <w:lang w:eastAsia="en-GB"/>
    </w:rPr>
  </w:style>
  <w:style w:type="paragraph" w:styleId="DocumentMap">
    <w:name w:val="Document Map"/>
    <w:basedOn w:val="Normal"/>
    <w:link w:val="DocumentMapChar"/>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Pr>
      <w:rFonts w:ascii="Tahoma" w:eastAsia="Times New Roman" w:hAnsi="Tahoma" w:cs="Times New Roman"/>
      <w:sz w:val="20"/>
      <w:szCs w:val="24"/>
      <w:shd w:val="clear" w:color="auto" w:fill="000080"/>
      <w:lang w:val="de-DE" w:eastAsia="de-DE"/>
    </w:rPr>
  </w:style>
  <w:style w:type="character" w:styleId="FollowedHyperlink">
    <w:name w:val="FollowedHyperlink"/>
    <w:rPr>
      <w:color w:val="800080"/>
      <w:u w:val="single"/>
    </w:rPr>
  </w:style>
  <w:style w:type="paragraph" w:styleId="NormalWeb">
    <w:name w:val="Normal (Web)"/>
    <w:basedOn w:val="Normal"/>
    <w:uiPriority w:val="99"/>
    <w:pPr>
      <w:spacing w:line="240" w:lineRule="auto"/>
    </w:pPr>
    <w:rPr>
      <w:rFonts w:ascii="Arial" w:eastAsia="Times New Roman" w:hAnsi="Arial" w:cs="Times New Roman"/>
      <w:szCs w:val="24"/>
    </w:rPr>
  </w:style>
  <w:style w:type="paragraph" w:customStyle="1" w:styleId="TableofTables">
    <w:name w:val="Table of Tables"/>
    <w:basedOn w:val="TableofFigures"/>
    <w:pPr>
      <w:tabs>
        <w:tab w:val="left" w:pos="1134"/>
        <w:tab w:val="right" w:pos="9781"/>
      </w:tabs>
    </w:pPr>
  </w:style>
  <w:style w:type="character" w:styleId="Emphasis">
    <w:name w:val="Emphasis"/>
    <w:rPr>
      <w:i/>
      <w:iCs/>
    </w:rPr>
  </w:style>
  <w:style w:type="character" w:styleId="HTMLCite">
    <w:name w:val="HTML Cite"/>
    <w:rPr>
      <w:i/>
      <w:iCs/>
    </w:rPr>
  </w:style>
  <w:style w:type="paragraph" w:customStyle="1" w:styleId="Default">
    <w:name w:val="Default"/>
    <w:pPr>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pPr>
      <w:spacing w:after="0" w:line="240" w:lineRule="auto"/>
    </w:pPr>
    <w:rPr>
      <w:lang w:val="en-MY"/>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pPr>
      <w:numPr>
        <w:numId w:val="19"/>
      </w:numPr>
      <w:spacing w:before="120"/>
      <w:contextualSpacing/>
    </w:pPr>
    <w:rPr>
      <w:sz w:val="20"/>
    </w:rPr>
  </w:style>
  <w:style w:type="paragraph" w:customStyle="1" w:styleId="Textedesaisie">
    <w:name w:val="Texte de saisie"/>
    <w:basedOn w:val="Normal"/>
    <w:link w:val="TextedesaisieCar"/>
    <w:rPr>
      <w:color w:val="000000" w:themeColor="text1"/>
    </w:rPr>
  </w:style>
  <w:style w:type="character" w:customStyle="1" w:styleId="TextedesaisieCar">
    <w:name w:val="Texte de saisie Car"/>
    <w:basedOn w:val="DefaultParagraphFont"/>
    <w:link w:val="Textedesaisie"/>
    <w:rPr>
      <w:color w:val="000000" w:themeColor="text1"/>
      <w:lang w:val="en-GB"/>
    </w:rPr>
  </w:style>
  <w:style w:type="paragraph" w:customStyle="1" w:styleId="AnnexTablecaption">
    <w:name w:val="Annex Table caption"/>
    <w:basedOn w:val="BodyText"/>
    <w:qFormat/>
    <w:pPr>
      <w:numPr>
        <w:numId w:val="3"/>
      </w:numPr>
      <w:jc w:val="center"/>
    </w:pPr>
    <w:rPr>
      <w:i/>
      <w:color w:val="00558C"/>
      <w:lang w:eastAsia="en-GB"/>
    </w:rPr>
  </w:style>
  <w:style w:type="paragraph" w:customStyle="1" w:styleId="Figurecaption">
    <w:name w:val="Figure caption"/>
    <w:basedOn w:val="Caption"/>
    <w:next w:val="BodyText"/>
    <w:qFormat/>
    <w:pPr>
      <w:spacing w:before="240" w:after="240"/>
      <w:ind w:left="992" w:hanging="992"/>
      <w:jc w:val="center"/>
    </w:pPr>
    <w:rPr>
      <w:b w:val="0"/>
      <w:u w:val="none"/>
    </w:rPr>
  </w:style>
  <w:style w:type="paragraph" w:styleId="NoSpacing">
    <w:name w:val="No Spacing"/>
    <w:uiPriority w:val="1"/>
    <w:pPr>
      <w:spacing w:after="0" w:line="240" w:lineRule="auto"/>
    </w:pPr>
    <w:rPr>
      <w:sz w:val="18"/>
      <w:lang w:val="en-GB"/>
    </w:rPr>
  </w:style>
  <w:style w:type="paragraph" w:customStyle="1" w:styleId="Abbreviations">
    <w:name w:val="Abbreviations"/>
    <w:basedOn w:val="Normal"/>
    <w:qFormat/>
    <w:pPr>
      <w:spacing w:after="60"/>
      <w:ind w:left="1418" w:hanging="1418"/>
    </w:p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Appendix">
    <w:name w:val="Appendix"/>
    <w:next w:val="BodyText"/>
    <w:qFormat/>
    <w:pPr>
      <w:numPr>
        <w:numId w:val="4"/>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pPr>
      <w:pBdr>
        <w:top w:val="single" w:sz="4" w:space="1" w:color="000000"/>
      </w:pBdr>
      <w:tabs>
        <w:tab w:val="right" w:pos="15309"/>
      </w:tabs>
    </w:pPr>
    <w:rPr>
      <w:b/>
      <w:color w:val="00558C"/>
      <w:sz w:val="15"/>
    </w:rPr>
  </w:style>
  <w:style w:type="paragraph" w:customStyle="1" w:styleId="Documentnumber">
    <w:name w:val="Document number"/>
    <w:basedOn w:val="Normal"/>
    <w:next w:val="Normal"/>
    <w:rPr>
      <w:caps/>
      <w:color w:val="00558C"/>
      <w:sz w:val="50"/>
    </w:rPr>
  </w:style>
  <w:style w:type="paragraph" w:customStyle="1" w:styleId="Documentdate">
    <w:name w:val="Document date"/>
    <w:basedOn w:val="Normal"/>
    <w:rPr>
      <w:b/>
      <w:color w:val="00558C"/>
      <w:sz w:val="28"/>
    </w:rPr>
  </w:style>
  <w:style w:type="paragraph" w:customStyle="1" w:styleId="Footerportrait">
    <w:name w:val="Footer portrait"/>
    <w:basedOn w:val="Normal"/>
    <w:pPr>
      <w:pBdr>
        <w:top w:val="single" w:sz="4" w:space="1" w:color="000000"/>
      </w:pBdr>
      <w:tabs>
        <w:tab w:val="right" w:pos="10206"/>
      </w:tabs>
    </w:pPr>
    <w:rPr>
      <w:b/>
      <w:color w:val="00558C"/>
      <w:sz w:val="15"/>
      <w:lang w:val="en-US"/>
    </w:rPr>
  </w:style>
  <w:style w:type="paragraph" w:customStyle="1" w:styleId="Documentname">
    <w:name w:val="Document name"/>
    <w:basedOn w:val="Documenttype"/>
    <w:pPr>
      <w:ind w:left="0" w:right="0"/>
    </w:pPr>
    <w:rPr>
      <w:b w:val="0"/>
      <w:color w:val="00558C"/>
    </w:rPr>
  </w:style>
  <w:style w:type="character" w:styleId="PlaceholderText">
    <w:name w:val="Placeholder Text"/>
    <w:basedOn w:val="DefaultParagraphFont"/>
    <w:uiPriority w:val="99"/>
    <w:semiHidden/>
    <w:rPr>
      <w:color w:val="808080"/>
    </w:rPr>
  </w:style>
  <w:style w:type="paragraph" w:customStyle="1" w:styleId="Style1">
    <w:name w:val="Style1"/>
    <w:basedOn w:val="Tableheading"/>
  </w:style>
  <w:style w:type="paragraph" w:customStyle="1" w:styleId="Style2">
    <w:name w:val="Style2"/>
    <w:basedOn w:val="TOC3"/>
    <w:pPr>
      <w:tabs>
        <w:tab w:val="left" w:pos="1985"/>
        <w:tab w:val="right" w:pos="10195"/>
      </w:tabs>
    </w:pPr>
    <w:rPr>
      <w:sz w:val="24"/>
      <w:szCs w:val="24"/>
      <w:lang w:val="en-US"/>
    </w:rPr>
  </w:style>
  <w:style w:type="paragraph" w:customStyle="1" w:styleId="Headingseparationline-landscape">
    <w:name w:val="Heading separation line - landscape"/>
    <w:basedOn w:val="Heading1separationline"/>
    <w:pPr>
      <w:ind w:right="14317"/>
    </w:pPr>
  </w:style>
  <w:style w:type="paragraph" w:styleId="Title">
    <w:name w:val="Title"/>
    <w:basedOn w:val="Normal"/>
    <w:link w:val="TitleChar"/>
    <w:qFormat/>
    <w:pPr>
      <w:spacing w:before="180" w:after="60" w:line="240" w:lineRule="auto"/>
      <w:jc w:val="center"/>
      <w:outlineLvl w:val="0"/>
    </w:pPr>
    <w:rPr>
      <w:rFonts w:asciiTheme="majorHAnsi" w:eastAsiaTheme="majorEastAsia" w:hAnsiTheme="majorHAnsi" w:cstheme="majorBidi"/>
      <w:b/>
      <w:bCs/>
      <w:caps/>
      <w:color w:val="00558C"/>
      <w:sz w:val="32"/>
      <w:szCs w:val="24"/>
    </w:rPr>
  </w:style>
  <w:style w:type="character" w:customStyle="1" w:styleId="TitleChar">
    <w:name w:val="Title Char"/>
    <w:basedOn w:val="DefaultParagraphFont"/>
    <w:link w:val="Title"/>
    <w:rPr>
      <w:rFonts w:asciiTheme="majorHAnsi" w:eastAsiaTheme="majorEastAsia" w:hAnsiTheme="majorHAnsi" w:cstheme="majorBidi"/>
      <w:b/>
      <w:bCs/>
      <w:caps/>
      <w:color w:val="00558C"/>
      <w:sz w:val="32"/>
      <w:szCs w:val="24"/>
      <w:lang w:val="en-GB"/>
    </w:rPr>
  </w:style>
  <w:style w:type="paragraph" w:styleId="Revision">
    <w:name w:val="Revision"/>
    <w:hidden/>
    <w:uiPriority w:val="99"/>
    <w:semiHidden/>
    <w:pPr>
      <w:spacing w:after="0" w:line="240" w:lineRule="auto"/>
    </w:pPr>
    <w:rPr>
      <w:sz w:val="18"/>
      <w:lang w:val="en-GB"/>
    </w:rPr>
  </w:style>
  <w:style w:type="paragraph" w:customStyle="1" w:styleId="Referencetext">
    <w:name w:val="Reference text"/>
    <w:basedOn w:val="Normal"/>
    <w:pPr>
      <w:tabs>
        <w:tab w:val="left" w:pos="567"/>
      </w:tabs>
      <w:spacing w:line="240" w:lineRule="auto"/>
      <w:ind w:left="1134" w:hanging="567"/>
    </w:pPr>
    <w:rPr>
      <w:rFonts w:ascii="Calibri" w:eastAsia="Times New Roman" w:hAnsi="Calibri" w:cs="Arial"/>
      <w:szCs w:val="20"/>
      <w:lang w:eastAsia="en-GB"/>
    </w:rPr>
  </w:style>
  <w:style w:type="paragraph" w:customStyle="1" w:styleId="preface6">
    <w:name w:val="preface 6"/>
    <w:basedOn w:val="Heading6"/>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Pr>
      <w:b/>
      <w:color w:val="00558C"/>
      <w:sz w:val="28"/>
    </w:rPr>
  </w:style>
  <w:style w:type="character" w:customStyle="1" w:styleId="MRNChar">
    <w:name w:val="MRN Char"/>
    <w:basedOn w:val="DefaultParagraphFont"/>
    <w:link w:val="MRN"/>
    <w:rPr>
      <w:b/>
      <w:color w:val="00558C"/>
      <w:sz w:val="28"/>
      <w:lang w:val="en-GB"/>
    </w:rPr>
  </w:style>
  <w:style w:type="paragraph" w:customStyle="1" w:styleId="Revokes">
    <w:name w:val="Revokes"/>
    <w:basedOn w:val="Documentdate"/>
    <w:link w:val="RevokesChar"/>
    <w:rPr>
      <w:i/>
    </w:rPr>
  </w:style>
  <w:style w:type="character" w:customStyle="1" w:styleId="RevokesChar">
    <w:name w:val="Revokes Char"/>
    <w:basedOn w:val="DefaultParagraphFont"/>
    <w:link w:val="Revokes"/>
    <w:rPr>
      <w:b/>
      <w:i/>
      <w:color w:val="00558C"/>
      <w:sz w:val="28"/>
      <w:lang w:val="en-GB"/>
    </w:rPr>
  </w:style>
  <w:style w:type="paragraph" w:customStyle="1" w:styleId="Reference">
    <w:name w:val="Reference"/>
    <w:basedOn w:val="Normal"/>
    <w:qFormat/>
    <w:pPr>
      <w:numPr>
        <w:numId w:val="17"/>
      </w:numPr>
      <w:spacing w:before="120" w:after="60" w:line="240" w:lineRule="auto"/>
      <w:jc w:val="both"/>
    </w:pPr>
    <w:rPr>
      <w:rFonts w:eastAsia="Times New Roman" w:cs="Times New Roman"/>
      <w:szCs w:val="20"/>
    </w:rPr>
  </w:style>
  <w:style w:type="paragraph" w:customStyle="1" w:styleId="Equation">
    <w:name w:val="Equation"/>
    <w:basedOn w:val="BodyText"/>
    <w:next w:val="BodyText"/>
    <w:link w:val="EquationChar"/>
    <w:qFormat/>
    <w:pPr>
      <w:numPr>
        <w:numId w:val="9"/>
      </w:numPr>
      <w:spacing w:before="60"/>
      <w:jc w:val="right"/>
    </w:pPr>
  </w:style>
  <w:style w:type="character" w:customStyle="1" w:styleId="EquationChar">
    <w:name w:val="Equation Char"/>
    <w:basedOn w:val="BodyTextChar"/>
    <w:link w:val="Equation"/>
    <w:rPr>
      <w:lang w:val="en-GB"/>
    </w:rPr>
  </w:style>
  <w:style w:type="paragraph" w:customStyle="1" w:styleId="Furtherreading">
    <w:name w:val="Further reading"/>
    <w:basedOn w:val="BodyText"/>
    <w:link w:val="FurtherreadingChar"/>
    <w:qFormat/>
    <w:pPr>
      <w:numPr>
        <w:numId w:val="10"/>
      </w:numPr>
      <w:spacing w:before="60"/>
    </w:pPr>
  </w:style>
  <w:style w:type="character" w:customStyle="1" w:styleId="FurtherreadingChar">
    <w:name w:val="Further reading Char"/>
    <w:basedOn w:val="BodyTextChar"/>
    <w:link w:val="Furtherreading"/>
    <w:rPr>
      <w:lang w:val="en-GB"/>
    </w:rPr>
  </w:style>
  <w:style w:type="paragraph" w:customStyle="1" w:styleId="Documentrevisiontabletitle">
    <w:name w:val="Document revision table title"/>
    <w:basedOn w:val="Normal"/>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1"/>
      </w:numPr>
      <w:jc w:val="center"/>
    </w:pPr>
    <w:rPr>
      <w:i/>
      <w:color w:val="00558C"/>
      <w:lang w:eastAsia="en-GB"/>
    </w:rPr>
  </w:style>
  <w:style w:type="character" w:customStyle="1" w:styleId="AnnexFigureCaptionChar">
    <w:name w:val="Annex Figure Caption Char"/>
    <w:basedOn w:val="BodyTextChar"/>
    <w:link w:val="AnnexFigureCaption"/>
    <w:rPr>
      <w:i/>
      <w:color w:val="00558C"/>
      <w:lang w:val="en-GB" w:eastAsia="en-GB"/>
    </w:rPr>
  </w:style>
  <w:style w:type="paragraph" w:styleId="Index1">
    <w:name w:val="index 1"/>
    <w:basedOn w:val="Normal"/>
    <w:next w:val="Normal"/>
    <w:semiHidden/>
    <w:unhideWhenUsed/>
    <w:pPr>
      <w:spacing w:line="240" w:lineRule="auto"/>
      <w:ind w:left="180" w:hanging="180"/>
    </w:pPr>
  </w:style>
  <w:style w:type="paragraph" w:customStyle="1" w:styleId="AppendixHead1">
    <w:name w:val="Appendix Head 1"/>
    <w:basedOn w:val="Normal"/>
    <w:next w:val="Heading1separationline"/>
    <w:qFormat/>
    <w:pPr>
      <w:numPr>
        <w:ilvl w:val="1"/>
        <w:numId w:val="4"/>
      </w:numPr>
      <w:spacing w:before="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pPr>
      <w:ind w:left="425" w:right="709"/>
    </w:pPr>
    <w:rPr>
      <w:i/>
    </w:rPr>
  </w:style>
  <w:style w:type="character" w:customStyle="1" w:styleId="EmphasisParagraphChar">
    <w:name w:val="Emphasis Paragraph Char"/>
    <w:basedOn w:val="BodyTextChar"/>
    <w:link w:val="EmphasisParagraph"/>
    <w:rPr>
      <w:i/>
      <w:lang w:val="en-GB"/>
    </w:rPr>
  </w:style>
  <w:style w:type="paragraph" w:customStyle="1" w:styleId="Quotationparagraph">
    <w:name w:val="Quotation paragraph"/>
    <w:basedOn w:val="BodyText"/>
    <w:link w:val="QuotationparagraphChar"/>
    <w:qFormat/>
    <w:pPr>
      <w:ind w:left="567" w:right="707"/>
    </w:pPr>
  </w:style>
  <w:style w:type="character" w:customStyle="1" w:styleId="QuotationparagraphChar">
    <w:name w:val="Quotation paragraph Char"/>
    <w:basedOn w:val="BodyTextChar"/>
    <w:link w:val="Quotationparagraph"/>
    <w:rPr>
      <w:lang w:val="en-GB"/>
    </w:rPr>
  </w:style>
  <w:style w:type="paragraph" w:customStyle="1" w:styleId="Hidden">
    <w:name w:val="Hidden"/>
    <w:basedOn w:val="BodyText"/>
    <w:link w:val="HiddenChar"/>
    <w:qFormat/>
    <w:pPr>
      <w:widowControl w:val="0"/>
      <w:spacing w:after="0" w:line="0" w:lineRule="atLeast"/>
    </w:pPr>
    <w:rPr>
      <w:vanish/>
      <w:sz w:val="2"/>
      <w:szCs w:val="2"/>
    </w:rPr>
  </w:style>
  <w:style w:type="character" w:customStyle="1" w:styleId="HiddenChar">
    <w:name w:val="Hidden Char"/>
    <w:basedOn w:val="BodyTextChar"/>
    <w:link w:val="Hidden"/>
    <w:rPr>
      <w:vanish/>
      <w:sz w:val="2"/>
      <w:szCs w:val="2"/>
      <w:lang w:val="en-GB"/>
    </w:rPr>
  </w:style>
  <w:style w:type="paragraph" w:customStyle="1" w:styleId="Abstract">
    <w:name w:val="Abstract"/>
    <w:basedOn w:val="Normal"/>
    <w:next w:val="BodyText"/>
    <w:qFormat/>
    <w:pPr>
      <w:keepNext/>
      <w:keepLines/>
      <w:spacing w:before="100" w:after="300" w:line="240" w:lineRule="auto"/>
    </w:pPr>
    <w:rPr>
      <w:sz w:val="20"/>
      <w:szCs w:val="20"/>
      <w:lang w:val="en-US"/>
    </w:rPr>
  </w:style>
  <w:style w:type="character" w:customStyle="1" w:styleId="AlertTok">
    <w:name w:val="AlertTok"/>
    <w:rPr>
      <w:b/>
      <w:color w:val="FF0000"/>
    </w:rPr>
  </w:style>
  <w:style w:type="character" w:customStyle="1" w:styleId="AnnotationTok">
    <w:name w:val="AnnotationTok"/>
    <w:rPr>
      <w:b/>
      <w:i/>
      <w:color w:val="60A0B0"/>
    </w:rPr>
  </w:style>
  <w:style w:type="character" w:customStyle="1" w:styleId="AttributeTok">
    <w:name w:val="AttributeTok"/>
    <w:rPr>
      <w:color w:val="7D9029"/>
    </w:rPr>
  </w:style>
  <w:style w:type="paragraph" w:customStyle="1" w:styleId="Author">
    <w:name w:val="Author"/>
    <w:next w:val="BodyText"/>
    <w:qFormat/>
    <w:pPr>
      <w:keepNext/>
      <w:keepLines/>
      <w:spacing w:line="240" w:lineRule="auto"/>
      <w:jc w:val="center"/>
    </w:pPr>
    <w:rPr>
      <w:sz w:val="24"/>
      <w:szCs w:val="24"/>
      <w:lang w:val="en-US"/>
    </w:rPr>
  </w:style>
  <w:style w:type="character" w:customStyle="1" w:styleId="BaseNTok">
    <w:name w:val="BaseNTok"/>
    <w:rPr>
      <w:color w:val="40A070"/>
    </w:rPr>
  </w:style>
  <w:style w:type="paragraph" w:styleId="BlockText">
    <w:name w:val="Block Text"/>
    <w:basedOn w:val="BodyText"/>
    <w:next w:val="BodyText"/>
    <w:uiPriority w:val="9"/>
    <w:unhideWhenUsed/>
    <w:qFormat/>
    <w:pPr>
      <w:spacing w:before="100" w:after="100" w:line="240" w:lineRule="auto"/>
      <w:ind w:left="480" w:right="480"/>
      <w:jc w:val="left"/>
    </w:pPr>
    <w:rPr>
      <w:szCs w:val="24"/>
      <w:lang w:val="en-US"/>
    </w:rPr>
  </w:style>
  <w:style w:type="character" w:customStyle="1" w:styleId="BuiltInTok">
    <w:name w:val="BuiltInTok"/>
    <w:rPr>
      <w:color w:val="008000"/>
    </w:rPr>
  </w:style>
  <w:style w:type="paragraph" w:customStyle="1" w:styleId="CaptionedFigure">
    <w:name w:val="Captioned Figure"/>
    <w:basedOn w:val="Normal"/>
    <w:next w:val="Figurecaption"/>
    <w:qFormat/>
    <w:pPr>
      <w:keepNext/>
      <w:jc w:val="center"/>
    </w:pPr>
  </w:style>
  <w:style w:type="character" w:customStyle="1" w:styleId="CharTok">
    <w:name w:val="CharTok"/>
    <w:rPr>
      <w:color w:val="4070A0"/>
    </w:rPr>
  </w:style>
  <w:style w:type="character" w:customStyle="1" w:styleId="CommentTok">
    <w:name w:val="CommentTok"/>
    <w:rPr>
      <w:i/>
      <w:color w:val="60A0B0"/>
    </w:rPr>
  </w:style>
  <w:style w:type="character" w:customStyle="1" w:styleId="CommentVarTok">
    <w:name w:val="CommentVarTok"/>
    <w:rPr>
      <w:b/>
      <w:i/>
      <w:color w:val="60A0B0"/>
    </w:rPr>
  </w:style>
  <w:style w:type="paragraph" w:customStyle="1" w:styleId="Compact">
    <w:name w:val="Compact"/>
    <w:basedOn w:val="BodyText"/>
    <w:qFormat/>
    <w:pPr>
      <w:spacing w:before="36" w:after="36" w:line="240" w:lineRule="auto"/>
      <w:jc w:val="left"/>
    </w:pPr>
    <w:rPr>
      <w:sz w:val="20"/>
      <w:szCs w:val="24"/>
      <w:lang w:val="en-US"/>
    </w:rPr>
  </w:style>
  <w:style w:type="character" w:customStyle="1" w:styleId="ConstantTok">
    <w:name w:val="ConstantTok"/>
    <w:rPr>
      <w:color w:val="880000"/>
    </w:rPr>
  </w:style>
  <w:style w:type="character" w:customStyle="1" w:styleId="ControlFlowTok">
    <w:name w:val="ControlFlowTok"/>
    <w:rPr>
      <w:b/>
      <w:color w:val="007020"/>
    </w:rPr>
  </w:style>
  <w:style w:type="character" w:customStyle="1" w:styleId="DataTypeTok">
    <w:name w:val="DataTypeTok"/>
    <w:rPr>
      <w:color w:val="902000"/>
    </w:rPr>
  </w:style>
  <w:style w:type="paragraph" w:styleId="Date">
    <w:name w:val="Date"/>
    <w:next w:val="BodyText"/>
    <w:link w:val="DateChar"/>
    <w:qFormat/>
    <w:pPr>
      <w:keepNext/>
      <w:keepLines/>
      <w:spacing w:line="240" w:lineRule="auto"/>
      <w:jc w:val="center"/>
    </w:pPr>
    <w:rPr>
      <w:sz w:val="24"/>
      <w:szCs w:val="24"/>
      <w:lang w:val="en-US"/>
    </w:rPr>
  </w:style>
  <w:style w:type="character" w:customStyle="1" w:styleId="DateChar">
    <w:name w:val="Date Char"/>
    <w:basedOn w:val="DefaultParagraphFont"/>
    <w:link w:val="Date"/>
    <w:rPr>
      <w:sz w:val="24"/>
      <w:szCs w:val="24"/>
      <w:lang w:val="en-US"/>
    </w:rPr>
  </w:style>
  <w:style w:type="character" w:customStyle="1" w:styleId="DecValTok">
    <w:name w:val="DecValTok"/>
    <w:rPr>
      <w:color w:val="40A070"/>
    </w:rPr>
  </w:style>
  <w:style w:type="paragraph" w:customStyle="1" w:styleId="Definition">
    <w:name w:val="Definition"/>
    <w:basedOn w:val="Normal"/>
    <w:pPr>
      <w:spacing w:after="200" w:line="240" w:lineRule="auto"/>
    </w:pPr>
    <w:rPr>
      <w:szCs w:val="24"/>
      <w:lang w:val="en-US"/>
    </w:rPr>
  </w:style>
  <w:style w:type="paragraph" w:customStyle="1" w:styleId="DefinitionTerm">
    <w:name w:val="Definition Term"/>
    <w:basedOn w:val="Normal"/>
    <w:next w:val="Definition"/>
    <w:pPr>
      <w:keepNext/>
      <w:keepLines/>
      <w:spacing w:after="0" w:line="240" w:lineRule="auto"/>
    </w:pPr>
    <w:rPr>
      <w:b/>
      <w:szCs w:val="24"/>
      <w:lang w:val="en-US"/>
    </w:rPr>
  </w:style>
  <w:style w:type="character" w:customStyle="1" w:styleId="DocumentationTok">
    <w:name w:val="DocumentationTok"/>
    <w:rPr>
      <w:i/>
      <w:color w:val="BA2121"/>
    </w:rPr>
  </w:style>
  <w:style w:type="character" w:customStyle="1" w:styleId="ErrorTok">
    <w:name w:val="ErrorTok"/>
    <w:rPr>
      <w:b/>
      <w:color w:val="FF0000"/>
    </w:rPr>
  </w:style>
  <w:style w:type="character" w:customStyle="1" w:styleId="ExtensionTok">
    <w:name w:val="ExtensionTok"/>
  </w:style>
  <w:style w:type="paragraph" w:customStyle="1" w:styleId="FirstParagraph">
    <w:name w:val="First Paragraph"/>
    <w:basedOn w:val="BodyText"/>
    <w:next w:val="BodyText"/>
    <w:link w:val="FirstParagraphChar"/>
    <w:qFormat/>
  </w:style>
  <w:style w:type="character" w:customStyle="1" w:styleId="FirstParagraphChar">
    <w:name w:val="First Paragraph Char"/>
    <w:basedOn w:val="BodyTextChar"/>
    <w:link w:val="FirstParagraph"/>
    <w:rPr>
      <w:lang w:val="en-GB"/>
    </w:rPr>
  </w:style>
  <w:style w:type="character" w:customStyle="1" w:styleId="FloatTok">
    <w:name w:val="FloatTok"/>
    <w:rPr>
      <w:color w:val="40A070"/>
    </w:rPr>
  </w:style>
  <w:style w:type="character" w:customStyle="1" w:styleId="FunctionTok">
    <w:name w:val="FunctionTok"/>
    <w:rPr>
      <w:color w:val="06287E"/>
    </w:rPr>
  </w:style>
  <w:style w:type="paragraph" w:customStyle="1" w:styleId="ImageCaption">
    <w:name w:val="Image Caption"/>
    <w:basedOn w:val="Caption"/>
    <w:next w:val="BodyText"/>
    <w:qFormat/>
    <w:pPr>
      <w:numPr>
        <w:numId w:val="12"/>
      </w:numPr>
      <w:spacing w:before="240" w:after="240"/>
      <w:jc w:val="center"/>
    </w:pPr>
    <w:rPr>
      <w:b w:val="0"/>
      <w:u w:val="none"/>
    </w:rPr>
  </w:style>
  <w:style w:type="character" w:customStyle="1" w:styleId="ImportTok">
    <w:name w:val="ImportTok"/>
    <w:rPr>
      <w:b/>
      <w:color w:val="008000"/>
    </w:rPr>
  </w:style>
  <w:style w:type="character" w:customStyle="1" w:styleId="InformationTok">
    <w:name w:val="InformationTok"/>
    <w:rPr>
      <w:b/>
      <w:i/>
      <w:color w:val="60A0B0"/>
    </w:rPr>
  </w:style>
  <w:style w:type="character" w:customStyle="1" w:styleId="KeywordTok">
    <w:name w:val="KeywordTok"/>
    <w:rPr>
      <w:b/>
      <w:color w:val="007020"/>
    </w:rPr>
  </w:style>
  <w:style w:type="character" w:customStyle="1" w:styleId="NormalTok">
    <w:name w:val="NormalTok"/>
  </w:style>
  <w:style w:type="character" w:customStyle="1" w:styleId="OperatorTok">
    <w:name w:val="OperatorTok"/>
    <w:rPr>
      <w:color w:val="666666"/>
    </w:rPr>
  </w:style>
  <w:style w:type="character" w:customStyle="1" w:styleId="OtherTok">
    <w:name w:val="OtherTok"/>
    <w:rPr>
      <w:color w:val="007020"/>
    </w:rPr>
  </w:style>
  <w:style w:type="character" w:customStyle="1" w:styleId="PreprocessorTok">
    <w:name w:val="PreprocessorTok"/>
    <w:rPr>
      <w:color w:val="BC7A00"/>
    </w:rPr>
  </w:style>
  <w:style w:type="character" w:customStyle="1" w:styleId="RegionMarkerTok">
    <w:name w:val="RegionMarkerTok"/>
  </w:style>
  <w:style w:type="paragraph" w:customStyle="1" w:styleId="SourceCode">
    <w:name w:val="Source Code"/>
    <w:basedOn w:val="Normal"/>
    <w:rPr>
      <w:rFonts w:ascii="Consolas" w:hAnsi="Consolas"/>
      <w:sz w:val="20"/>
    </w:rPr>
  </w:style>
  <w:style w:type="character" w:customStyle="1" w:styleId="SpecialCharTok">
    <w:name w:val="SpecialCharTok"/>
    <w:rPr>
      <w:color w:val="4070A0"/>
    </w:rPr>
  </w:style>
  <w:style w:type="character" w:customStyle="1" w:styleId="SpecialStringTok">
    <w:name w:val="SpecialStringTok"/>
    <w:rPr>
      <w:color w:val="BB6688"/>
    </w:rPr>
  </w:style>
  <w:style w:type="character" w:customStyle="1" w:styleId="StringTok">
    <w:name w:val="StringTok"/>
    <w:rPr>
      <w:color w:val="4070A0"/>
    </w:rPr>
  </w:style>
  <w:style w:type="paragraph" w:styleId="Subtitle">
    <w:name w:val="Subtitle"/>
    <w:basedOn w:val="Title"/>
    <w:next w:val="BodyText"/>
    <w:link w:val="SubtitleChar"/>
    <w:qFormat/>
    <w:pPr>
      <w:keepNext/>
      <w:keepLines/>
      <w:spacing w:before="240" w:after="240"/>
      <w:outlineLvl w:val="9"/>
    </w:pPr>
    <w:rPr>
      <w:caps w:val="0"/>
      <w:color w:val="003B63" w:themeColor="accent1" w:themeShade="B5"/>
      <w:sz w:val="30"/>
      <w:szCs w:val="30"/>
      <w:lang w:val="en-US"/>
    </w:rPr>
  </w:style>
  <w:style w:type="character" w:customStyle="1" w:styleId="SubtitleChar">
    <w:name w:val="Subtitle Char"/>
    <w:basedOn w:val="DefaultParagraphFont"/>
    <w:link w:val="Subtitle"/>
    <w:rPr>
      <w:rFonts w:asciiTheme="majorHAnsi" w:eastAsiaTheme="majorEastAsia" w:hAnsiTheme="majorHAnsi" w:cstheme="majorBidi"/>
      <w:b/>
      <w:bCs/>
      <w:color w:val="003B63" w:themeColor="accent1" w:themeShade="B5"/>
      <w:sz w:val="30"/>
      <w:szCs w:val="30"/>
      <w:lang w:val="en-US"/>
    </w:rPr>
  </w:style>
  <w:style w:type="table" w:customStyle="1" w:styleId="Table">
    <w:name w:val="Table"/>
    <w:unhideWhenUsed/>
    <w:qFormat/>
    <w:pPr>
      <w:spacing w:after="120" w:line="240" w:lineRule="auto"/>
    </w:pPr>
    <w:rPr>
      <w:sz w:val="24"/>
      <w:szCs w:val="24"/>
      <w:lang w:val="en-US" w:eastAsia="en-GB"/>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blStylePr w:type="firstRow">
      <w:rPr>
        <w:b/>
        <w:color w:val="00558C" w:themeColor="accent1"/>
      </w:rPr>
    </w:tblStylePr>
  </w:style>
  <w:style w:type="paragraph" w:customStyle="1" w:styleId="TableCaption">
    <w:name w:val="Table Caption"/>
    <w:basedOn w:val="Caption"/>
    <w:next w:val="BodyText"/>
    <w:qFormat/>
    <w:pPr>
      <w:keepNext/>
      <w:numPr>
        <w:numId w:val="18"/>
      </w:numPr>
      <w:tabs>
        <w:tab w:val="left" w:pos="851"/>
      </w:tabs>
      <w:spacing w:before="240" w:after="240"/>
      <w:jc w:val="center"/>
    </w:pPr>
    <w:rPr>
      <w:b w:val="0"/>
      <w:u w:val="none"/>
    </w:rPr>
  </w:style>
  <w:style w:type="character" w:customStyle="1" w:styleId="VariableTok">
    <w:name w:val="VariableTok"/>
    <w:rPr>
      <w:color w:val="19177C"/>
    </w:rPr>
  </w:style>
  <w:style w:type="character" w:customStyle="1" w:styleId="VerbatimChar">
    <w:name w:val="Verbatim Char"/>
    <w:basedOn w:val="DefaultParagraphFont"/>
    <w:qFormat/>
    <w:rPr>
      <w:rFonts w:ascii="Consolas" w:hAnsi="Consolas"/>
      <w:sz w:val="20"/>
    </w:rPr>
  </w:style>
  <w:style w:type="character" w:customStyle="1" w:styleId="VerbatimStringTok">
    <w:name w:val="VerbatimStringTok"/>
    <w:rPr>
      <w:color w:val="4070A0"/>
    </w:rPr>
  </w:style>
  <w:style w:type="character" w:customStyle="1" w:styleId="WarningTok">
    <w:name w:val="WarningTok"/>
    <w:rPr>
      <w:b/>
      <w:i/>
      <w:color w:val="60A0B0"/>
    </w:rPr>
  </w:style>
  <w:style w:type="paragraph" w:styleId="ListParagraph">
    <w:name w:val="List Paragraph"/>
    <w:basedOn w:val="Normal"/>
    <w:uiPriority w:val="34"/>
    <w:pPr>
      <w:ind w:left="720"/>
      <w:contextualSpacing/>
    </w:pPr>
  </w:style>
  <w:style w:type="numbering" w:customStyle="1" w:styleId="IALABulletList">
    <w:name w:val="IALA_Bullet_List"/>
    <w:uiPriority w:val="99"/>
    <w:pPr>
      <w:numPr>
        <w:numId w:val="20"/>
      </w:numPr>
    </w:pPr>
  </w:style>
  <w:style w:type="numbering" w:customStyle="1" w:styleId="IALANumberedList">
    <w:name w:val="IALA_Numbered_List"/>
    <w:uiPriority w:val="99"/>
    <w:pPr>
      <w:numPr>
        <w:numId w:val="2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eader" Target="header6.xml"/><Relationship Id="rId34" Type="http://schemas.openxmlformats.org/officeDocument/2006/relationships/image" Target="media/image14.png"/><Relationship Id="rId42" Type="http://schemas.openxmlformats.org/officeDocument/2006/relationships/hyperlink" Target="https://www.iala.int/product/g1143/" TargetMode="External"/><Relationship Id="rId47" Type="http://schemas.openxmlformats.org/officeDocument/2006/relationships/footer" Target="footer6.xml"/><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9.png"/><Relationship Id="rId11" Type="http://schemas.openxmlformats.org/officeDocument/2006/relationships/endnotes" Target="endnotes.xml"/><Relationship Id="rId24" Type="http://schemas.openxmlformats.org/officeDocument/2006/relationships/header" Target="header9.xm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hyperlink" Target="https://www.iala.int/product/g1128/" TargetMode="External"/><Relationship Id="rId45" Type="http://schemas.openxmlformats.org/officeDocument/2006/relationships/header" Target="header10.xml"/><Relationship Id="rId49" Type="http://schemas.openxmlformats.org/officeDocument/2006/relationships/footer" Target="footer7.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image" Target="media/image11.png"/><Relationship Id="rId44" Type="http://schemas.openxmlformats.org/officeDocument/2006/relationships/hyperlink" Target="https://iho.int/uploads/user/pubs/standards/s-100/S-100_5.2.0_Final_Clean.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7.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hyperlink" Target="https://webstore.iec.ch/en/publication/64543" TargetMode="External"/><Relationship Id="rId48" Type="http://schemas.openxmlformats.org/officeDocument/2006/relationships/header" Target="header12.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header" Target="header11.xml"/><Relationship Id="rId20" Type="http://schemas.openxmlformats.org/officeDocument/2006/relationships/footer" Target="footer4.xml"/><Relationship Id="rId41" Type="http://schemas.openxmlformats.org/officeDocument/2006/relationships/hyperlink" Target="https://www.iala.int/product/gXXXX/" TargetMode="External"/><Relationship Id="rId1" Type="http://schemas.openxmlformats.org/officeDocument/2006/relationships/customXml" Target="../customXml/item1.xml"/><Relationship Id="rId6" Type="http://schemas.openxmlformats.org/officeDocument/2006/relationships/numbering" Target="numbering.xml"/></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5.png"/></Relationships>
</file>

<file path=word/_rels/header12.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10.png"/><Relationship Id="rId1" Type="http://schemas.openxmlformats.org/officeDocument/2006/relationships/image" Target="media/image1.png"/><Relationship Id="rId4" Type="http://schemas.openxmlformats.org/officeDocument/2006/relationships/image" Target="media/image20.png"/></Relationships>
</file>

<file path=word/_rels/header3.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5.png"/></Relationships>
</file>

<file path=word/_rels/header9.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5.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06022411-6e02-423b-85fd-39e0748b9219">
      <UserInfo>
        <DisplayName/>
        <AccountId xsi:nil="true"/>
        <AccountType/>
      </UserInfo>
    </SharedWithUsers>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75c9f3f451866b0d3c9120c8a094ca6d">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15aae6c7c4885604f29bd56d2cee64f9"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This value indicates the number of saves or revisions. The application is responsible for updating this value after each revision.</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524FAC8-26CD-48A6-8BF8-E7B31590EC49}">
  <ds:schemaRefs>
    <ds:schemaRef ds:uri="http://schemas.openxmlformats.org/officeDocument/2006/bibliography"/>
  </ds:schemaRefs>
</ds:datastoreItem>
</file>

<file path=customXml/itemProps2.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4.xml><?xml version="1.0" encoding="utf-8"?>
<ds:datastoreItem xmlns:ds="http://schemas.openxmlformats.org/officeDocument/2006/customXml" ds:itemID="{6B0779D8-763C-4151-95BA-3344609ADBFC}"/>
</file>

<file path=customXml/itemProps5.xml><?xml version="1.0" encoding="utf-8"?>
<ds:datastoreItem xmlns:ds="http://schemas.openxmlformats.org/officeDocument/2006/customXml" ds:itemID="{890F9B07-1228-491E-AEB8-479EEA2EE8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40</Pages>
  <Words>10907</Words>
  <Characters>64397</Characters>
  <Application>Microsoft Office Word</Application>
  <DocSecurity>0</DocSecurity>
  <Lines>1635</Lines>
  <Paragraphs>779</Paragraphs>
  <ScaleCrop>false</ScaleCrop>
  <Manager>IALA</Manager>
  <Company>IALA</Company>
  <LinksUpToDate>false</LinksUpToDate>
  <CharactersWithSpaces>74576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G1192 Ed1.0</dc:title>
  <dc:subject>IALA</dc:subject>
  <dc:creator>Omar Frits Eriksson</dc:creator>
  <cp:keywords/>
  <dc:description/>
  <cp:lastModifiedBy>Nikolaos Vastardis</cp:lastModifiedBy>
  <cp:revision>5</cp:revision>
  <dcterms:created xsi:type="dcterms:W3CDTF">2024-02-17T15:21:00Z</dcterms:created>
  <dcterms:modified xsi:type="dcterms:W3CDTF">2026-03-23T11:41:00Z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MediaServiceImageTags">
    <vt:lpwstr/>
  </property>
  <property fmtid="{D5CDD505-2E9C-101B-9397-08002B2CF9AE}" pid="5" name="GrammarlyDocumentId">
    <vt:lpwstr>c2bd76d5-052d-4339-8b42-730eab3e0567</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y fmtid="{D5CDD505-2E9C-101B-9397-08002B2CF9AE}" pid="11" name="docLang">
    <vt:lpwstr>en</vt:lpwstr>
  </property>
</Properties>
</file>